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CDDE5">
      <w:pPr>
        <w:pStyle w:val="94"/>
        <w:ind w:left="108"/>
        <w:jc w:val="center"/>
        <w:rPr>
          <w:rFonts w:cs="Times New Roman"/>
          <w:b/>
          <w:bCs/>
          <w:sz w:val="48"/>
          <w:szCs w:val="48"/>
          <w:lang w:val="en-US"/>
        </w:rPr>
      </w:pPr>
    </w:p>
    <w:p w14:paraId="6AC222D3">
      <w:pPr>
        <w:pStyle w:val="94"/>
        <w:jc w:val="center"/>
        <w:rPr>
          <w:rFonts w:cs="Times New Roman"/>
          <w:b/>
          <w:bCs/>
          <w:sz w:val="72"/>
          <w:szCs w:val="72"/>
          <w:lang w:val="en-US"/>
        </w:rPr>
      </w:pPr>
    </w:p>
    <w:p w14:paraId="529D5198">
      <w:pPr>
        <w:pStyle w:val="94"/>
        <w:jc w:val="center"/>
        <w:rPr>
          <w:rFonts w:cs="Times New Roman"/>
          <w:b/>
          <w:bCs/>
          <w:sz w:val="72"/>
          <w:szCs w:val="72"/>
          <w:lang w:val="en-US"/>
        </w:rPr>
      </w:pPr>
      <w:r>
        <w:rPr>
          <w:rFonts w:hint="eastAsia"/>
          <w:b/>
          <w:bCs/>
          <w:sz w:val="72"/>
          <w:szCs w:val="72"/>
          <w:lang w:val="en-US"/>
        </w:rPr>
        <w:t>陇南市政府采购</w:t>
      </w:r>
    </w:p>
    <w:p w14:paraId="2B0812CD">
      <w:pPr>
        <w:jc w:val="center"/>
        <w:rPr>
          <w:rFonts w:ascii="宋体"/>
          <w:b/>
          <w:bCs/>
          <w:sz w:val="96"/>
          <w:szCs w:val="96"/>
        </w:rPr>
      </w:pPr>
    </w:p>
    <w:p w14:paraId="1264D955">
      <w:pPr>
        <w:jc w:val="center"/>
        <w:rPr>
          <w:rFonts w:ascii="宋体"/>
          <w:b/>
          <w:bCs/>
          <w:sz w:val="72"/>
          <w:szCs w:val="72"/>
        </w:rPr>
      </w:pPr>
      <w:r>
        <w:rPr>
          <w:rFonts w:hint="eastAsia" w:ascii="宋体" w:hAnsi="宋体" w:cs="宋体"/>
          <w:b/>
          <w:bCs/>
          <w:sz w:val="72"/>
          <w:szCs w:val="72"/>
        </w:rPr>
        <w:t>招标文件</w:t>
      </w:r>
    </w:p>
    <w:p w14:paraId="356B42EE">
      <w:pPr>
        <w:spacing w:line="360" w:lineRule="auto"/>
        <w:jc w:val="center"/>
        <w:rPr>
          <w:rFonts w:hint="eastAsia" w:ascii="宋体" w:eastAsia="宋体"/>
          <w:b/>
          <w:bCs/>
          <w:sz w:val="36"/>
          <w:szCs w:val="36"/>
          <w:lang w:eastAsia="zh-CN"/>
        </w:rPr>
      </w:pPr>
      <w:r>
        <w:rPr>
          <w:rFonts w:hint="eastAsia" w:ascii="宋体"/>
          <w:b/>
          <w:bCs/>
          <w:sz w:val="36"/>
          <w:szCs w:val="36"/>
          <w:lang w:eastAsia="zh-CN"/>
        </w:rPr>
        <w:t>（</w:t>
      </w:r>
      <w:r>
        <w:rPr>
          <w:rFonts w:hint="eastAsia" w:ascii="宋体"/>
          <w:b/>
          <w:bCs/>
          <w:sz w:val="36"/>
          <w:szCs w:val="36"/>
          <w:lang w:val="en-US" w:eastAsia="zh-CN"/>
        </w:rPr>
        <w:t>服务类</w:t>
      </w:r>
      <w:r>
        <w:rPr>
          <w:rFonts w:hint="eastAsia" w:ascii="宋体"/>
          <w:b/>
          <w:bCs/>
          <w:sz w:val="36"/>
          <w:szCs w:val="36"/>
          <w:lang w:eastAsia="zh-CN"/>
        </w:rPr>
        <w:t>）</w:t>
      </w:r>
    </w:p>
    <w:p w14:paraId="2385A538">
      <w:pPr>
        <w:adjustRightInd w:val="0"/>
        <w:snapToGrid w:val="0"/>
        <w:spacing w:line="360" w:lineRule="auto"/>
        <w:rPr>
          <w:rFonts w:hAnsi="宋体"/>
          <w:b/>
          <w:bCs/>
          <w:sz w:val="36"/>
          <w:szCs w:val="36"/>
        </w:rPr>
      </w:pPr>
      <w:r>
        <w:rPr>
          <w:rFonts w:hAnsi="宋体"/>
          <w:b/>
          <w:bCs/>
          <w:sz w:val="36"/>
          <w:szCs w:val="36"/>
        </w:rPr>
        <w:t xml:space="preserve">           </w:t>
      </w:r>
    </w:p>
    <w:p w14:paraId="157F7255">
      <w:pPr>
        <w:pStyle w:val="16"/>
        <w:rPr>
          <w:rFonts w:ascii="宋体"/>
        </w:rPr>
      </w:pPr>
    </w:p>
    <w:p w14:paraId="18125664">
      <w:pPr>
        <w:pStyle w:val="36"/>
        <w:rPr>
          <w:rFonts w:cs="Times New Roman"/>
        </w:rPr>
      </w:pPr>
    </w:p>
    <w:p w14:paraId="23471977">
      <w:pPr>
        <w:pStyle w:val="16"/>
        <w:rPr>
          <w:rFonts w:ascii="宋体"/>
        </w:rPr>
      </w:pPr>
    </w:p>
    <w:p w14:paraId="70A8DE6D">
      <w:pPr>
        <w:pStyle w:val="36"/>
        <w:rPr>
          <w:rFonts w:cs="Times New Roman"/>
        </w:rPr>
      </w:pPr>
    </w:p>
    <w:p w14:paraId="63035532">
      <w:pPr>
        <w:spacing w:line="360" w:lineRule="auto"/>
        <w:rPr>
          <w:rFonts w:hint="default" w:ascii="宋体" w:eastAsia="宋体"/>
          <w:b/>
          <w:bCs/>
          <w:sz w:val="28"/>
          <w:szCs w:val="28"/>
          <w:lang w:val="en-US" w:eastAsia="zh-CN"/>
        </w:rPr>
      </w:pPr>
      <w:r>
        <w:rPr>
          <w:rFonts w:hint="eastAsia" w:ascii="宋体" w:hAnsi="宋体" w:cs="宋体"/>
          <w:b/>
          <w:bCs/>
          <w:sz w:val="28"/>
          <w:szCs w:val="28"/>
        </w:rPr>
        <w:t>项目编号：</w:t>
      </w:r>
      <w:r>
        <w:rPr>
          <w:rFonts w:hint="eastAsia" w:ascii="宋体" w:hAnsi="宋体" w:cs="宋体"/>
          <w:b/>
          <w:bCs/>
          <w:sz w:val="28"/>
          <w:szCs w:val="28"/>
          <w:lang w:val="en-US" w:eastAsia="zh-CN"/>
        </w:rPr>
        <w:t>182001JH6212037</w:t>
      </w:r>
    </w:p>
    <w:p w14:paraId="76605E2F">
      <w:pPr>
        <w:spacing w:line="360" w:lineRule="auto"/>
        <w:rPr>
          <w:rFonts w:ascii="宋体"/>
          <w:b/>
          <w:bCs/>
          <w:sz w:val="28"/>
          <w:szCs w:val="28"/>
        </w:rPr>
      </w:pPr>
      <w:r>
        <w:rPr>
          <w:rFonts w:hint="eastAsia" w:ascii="宋体" w:hAnsi="宋体" w:cs="宋体"/>
          <w:b/>
          <w:bCs/>
          <w:sz w:val="28"/>
          <w:szCs w:val="28"/>
        </w:rPr>
        <w:t>项目名称：</w:t>
      </w:r>
      <w:r>
        <w:rPr>
          <w:rFonts w:hint="eastAsia" w:ascii="宋体" w:hAnsi="宋体" w:cs="宋体"/>
          <w:b/>
          <w:bCs/>
          <w:sz w:val="28"/>
          <w:szCs w:val="28"/>
          <w:lang w:val="en-US" w:eastAsia="zh-CN"/>
        </w:rPr>
        <w:t>陇南市</w:t>
      </w:r>
      <w:r>
        <w:rPr>
          <w:rFonts w:hint="eastAsia" w:ascii="宋体" w:hAnsi="宋体" w:cs="宋体"/>
          <w:b/>
          <w:bCs/>
          <w:sz w:val="28"/>
          <w:szCs w:val="28"/>
        </w:rPr>
        <w:t>住房公积金</w:t>
      </w:r>
      <w:r>
        <w:rPr>
          <w:rFonts w:hint="eastAsia" w:ascii="宋体" w:hAnsi="宋体" w:cs="宋体"/>
          <w:b/>
          <w:bCs/>
          <w:sz w:val="28"/>
          <w:szCs w:val="28"/>
          <w:lang w:val="en-US" w:eastAsia="zh-CN"/>
        </w:rPr>
        <w:t>管理中心</w:t>
      </w:r>
      <w:r>
        <w:rPr>
          <w:rFonts w:hint="eastAsia" w:ascii="宋体" w:hAnsi="宋体" w:cs="宋体"/>
          <w:b/>
          <w:bCs/>
          <w:sz w:val="28"/>
          <w:szCs w:val="28"/>
        </w:rPr>
        <w:t>核心业务系统升级建设项目</w:t>
      </w:r>
    </w:p>
    <w:p w14:paraId="6787DC96">
      <w:pPr>
        <w:spacing w:line="360" w:lineRule="auto"/>
        <w:rPr>
          <w:rFonts w:hint="eastAsia" w:ascii="宋体" w:eastAsia="宋体"/>
          <w:b/>
          <w:bCs/>
          <w:sz w:val="28"/>
          <w:szCs w:val="28"/>
          <w:lang w:val="en-US" w:eastAsia="zh-CN"/>
        </w:rPr>
      </w:pPr>
      <w:r>
        <w:rPr>
          <w:rFonts w:hint="eastAsia" w:ascii="宋体" w:hAnsi="宋体" w:cs="宋体"/>
          <w:b/>
          <w:bCs/>
          <w:sz w:val="28"/>
          <w:szCs w:val="28"/>
        </w:rPr>
        <w:t>采</w:t>
      </w:r>
      <w:r>
        <w:rPr>
          <w:rFonts w:ascii="宋体" w:hAnsi="宋体" w:cs="宋体"/>
          <w:b/>
          <w:bCs/>
          <w:sz w:val="28"/>
          <w:szCs w:val="28"/>
        </w:rPr>
        <w:t xml:space="preserve"> </w:t>
      </w:r>
      <w:r>
        <w:rPr>
          <w:rFonts w:hint="eastAsia" w:ascii="宋体" w:hAnsi="宋体" w:cs="宋体"/>
          <w:b/>
          <w:bCs/>
          <w:sz w:val="28"/>
          <w:szCs w:val="28"/>
        </w:rPr>
        <w:t>购</w:t>
      </w:r>
      <w:r>
        <w:rPr>
          <w:rFonts w:ascii="宋体" w:hAnsi="宋体" w:cs="宋体"/>
          <w:b/>
          <w:bCs/>
          <w:sz w:val="28"/>
          <w:szCs w:val="28"/>
        </w:rPr>
        <w:t xml:space="preserve"> </w:t>
      </w:r>
      <w:r>
        <w:rPr>
          <w:rFonts w:hint="eastAsia" w:ascii="宋体" w:hAnsi="宋体" w:cs="宋体"/>
          <w:b/>
          <w:bCs/>
          <w:sz w:val="28"/>
          <w:szCs w:val="28"/>
        </w:rPr>
        <w:t>人：</w:t>
      </w:r>
      <w:r>
        <w:rPr>
          <w:rFonts w:hint="eastAsia" w:ascii="宋体" w:hAnsi="宋体" w:cs="宋体"/>
          <w:b/>
          <w:bCs/>
          <w:sz w:val="28"/>
          <w:szCs w:val="28"/>
          <w:lang w:val="en-US" w:eastAsia="zh-CN"/>
        </w:rPr>
        <w:t>陇南市</w:t>
      </w:r>
      <w:r>
        <w:rPr>
          <w:rFonts w:hint="eastAsia" w:ascii="宋体" w:hAnsi="宋体" w:cs="宋体"/>
          <w:b/>
          <w:bCs/>
          <w:sz w:val="28"/>
          <w:szCs w:val="28"/>
        </w:rPr>
        <w:t>住房公积金</w:t>
      </w:r>
      <w:r>
        <w:rPr>
          <w:rFonts w:hint="eastAsia" w:ascii="宋体" w:hAnsi="宋体" w:cs="宋体"/>
          <w:b/>
          <w:bCs/>
          <w:sz w:val="28"/>
          <w:szCs w:val="28"/>
          <w:lang w:val="en-US" w:eastAsia="zh-CN"/>
        </w:rPr>
        <w:t>管理中心</w:t>
      </w:r>
    </w:p>
    <w:p w14:paraId="61FA1A59">
      <w:pPr>
        <w:pStyle w:val="37"/>
        <w:jc w:val="left"/>
        <w:rPr>
          <w:rFonts w:hAnsi="宋体" w:cs="Times New Roman"/>
          <w:b/>
          <w:bCs/>
          <w:sz w:val="28"/>
          <w:szCs w:val="28"/>
        </w:rPr>
      </w:pPr>
      <w:r>
        <w:rPr>
          <w:rFonts w:hint="eastAsia" w:hAnsi="宋体"/>
          <w:b/>
          <w:bCs/>
          <w:sz w:val="28"/>
          <w:szCs w:val="28"/>
          <w:lang w:val="en-US" w:eastAsia="zh-CN"/>
        </w:rPr>
        <w:t>集采</w:t>
      </w:r>
      <w:r>
        <w:rPr>
          <w:rFonts w:hint="eastAsia" w:hAnsi="宋体"/>
          <w:b/>
          <w:bCs/>
          <w:sz w:val="28"/>
          <w:szCs w:val="28"/>
          <w:lang w:eastAsia="zh-CN"/>
        </w:rPr>
        <w:t>机构</w:t>
      </w:r>
      <w:r>
        <w:rPr>
          <w:rFonts w:hint="eastAsia" w:hAnsi="宋体"/>
          <w:b/>
          <w:bCs/>
          <w:sz w:val="28"/>
          <w:szCs w:val="28"/>
        </w:rPr>
        <w:t>：</w:t>
      </w:r>
      <w:r>
        <w:rPr>
          <w:rFonts w:hint="eastAsia" w:ascii="宋体" w:hAnsi="宋体" w:cs="宋体"/>
          <w:b/>
          <w:bCs/>
          <w:sz w:val="28"/>
          <w:szCs w:val="28"/>
          <w:lang w:val="en-US" w:eastAsia="zh-CN"/>
        </w:rPr>
        <w:t>陇南市公共资源交易中心</w:t>
      </w:r>
    </w:p>
    <w:p w14:paraId="5806A780">
      <w:pPr>
        <w:pStyle w:val="37"/>
        <w:jc w:val="left"/>
        <w:rPr>
          <w:rFonts w:hAnsi="宋体" w:cs="Times New Roman"/>
          <w:sz w:val="28"/>
          <w:szCs w:val="28"/>
        </w:rPr>
      </w:pPr>
    </w:p>
    <w:p w14:paraId="5D764E39">
      <w:pPr>
        <w:pStyle w:val="37"/>
        <w:jc w:val="left"/>
        <w:rPr>
          <w:rFonts w:hAnsi="宋体" w:cs="Times New Roman"/>
          <w:sz w:val="28"/>
          <w:szCs w:val="28"/>
        </w:rPr>
      </w:pPr>
    </w:p>
    <w:p w14:paraId="30234F86">
      <w:pPr>
        <w:pStyle w:val="37"/>
        <w:jc w:val="left"/>
        <w:rPr>
          <w:rFonts w:hAnsi="宋体" w:cs="Times New Roman"/>
          <w:sz w:val="28"/>
          <w:szCs w:val="28"/>
        </w:rPr>
      </w:pPr>
    </w:p>
    <w:p w14:paraId="0E82E2E8">
      <w:pPr>
        <w:pStyle w:val="37"/>
        <w:jc w:val="left"/>
        <w:rPr>
          <w:rFonts w:hAnsi="宋体" w:cs="Times New Roman"/>
          <w:sz w:val="28"/>
          <w:szCs w:val="28"/>
        </w:rPr>
      </w:pPr>
    </w:p>
    <w:p w14:paraId="57EED897">
      <w:pPr>
        <w:pStyle w:val="37"/>
        <w:jc w:val="left"/>
        <w:rPr>
          <w:rFonts w:hAnsi="宋体" w:cs="Times New Roman"/>
          <w:sz w:val="28"/>
          <w:szCs w:val="28"/>
        </w:rPr>
      </w:pPr>
    </w:p>
    <w:p w14:paraId="53B13B4F">
      <w:pPr>
        <w:spacing w:line="360" w:lineRule="auto"/>
        <w:jc w:val="center"/>
        <w:rPr>
          <w:rFonts w:ascii="宋体"/>
          <w:b/>
          <w:bCs/>
          <w:sz w:val="36"/>
          <w:szCs w:val="36"/>
        </w:rPr>
        <w:sectPr>
          <w:headerReference r:id="rId3" w:type="default"/>
          <w:footerReference r:id="rId4" w:type="default"/>
          <w:type w:val="continuous"/>
          <w:pgSz w:w="11910" w:h="16840"/>
          <w:pgMar w:top="1460" w:right="1680" w:bottom="1280" w:left="1640" w:header="0" w:footer="1096" w:gutter="0"/>
          <w:pgNumType w:fmt="decimal"/>
          <w:cols w:space="720" w:num="1"/>
        </w:sectPr>
      </w:pPr>
      <w:r>
        <w:rPr>
          <w:rFonts w:ascii="宋体" w:hAnsi="宋体" w:cs="宋体"/>
          <w:b/>
          <w:bCs/>
          <w:sz w:val="36"/>
          <w:szCs w:val="36"/>
        </w:rPr>
        <w:t>202</w:t>
      </w:r>
      <w:r>
        <w:rPr>
          <w:rFonts w:hint="eastAsia" w:ascii="宋体" w:hAnsi="宋体" w:cs="宋体"/>
          <w:b/>
          <w:bCs/>
          <w:sz w:val="36"/>
          <w:szCs w:val="36"/>
          <w:u w:val="single"/>
          <w:lang w:val="en-US" w:eastAsia="zh-CN"/>
        </w:rPr>
        <w:t>4</w:t>
      </w:r>
      <w:r>
        <w:rPr>
          <w:rFonts w:hint="eastAsia" w:ascii="宋体" w:hAnsi="宋体" w:cs="宋体"/>
          <w:b/>
          <w:bCs/>
          <w:sz w:val="36"/>
          <w:szCs w:val="36"/>
        </w:rPr>
        <w:t>年</w:t>
      </w:r>
      <w:r>
        <w:rPr>
          <w:rFonts w:hint="eastAsia" w:ascii="宋体" w:hAnsi="宋体" w:cs="宋体"/>
          <w:b/>
          <w:bCs/>
          <w:sz w:val="36"/>
          <w:szCs w:val="36"/>
          <w:u w:val="single"/>
          <w:lang w:val="en-US" w:eastAsia="zh-CN"/>
        </w:rPr>
        <w:t>11</w:t>
      </w:r>
      <w:r>
        <w:rPr>
          <w:rFonts w:hint="eastAsia" w:ascii="宋体" w:hAnsi="宋体" w:cs="宋体"/>
          <w:b/>
          <w:bCs/>
          <w:sz w:val="36"/>
          <w:szCs w:val="36"/>
        </w:rPr>
        <w:t>月</w:t>
      </w:r>
    </w:p>
    <w:p w14:paraId="4E1F820E">
      <w:pPr>
        <w:jc w:val="center"/>
        <w:rPr>
          <w:rFonts w:ascii="宋体"/>
          <w:b/>
          <w:bCs/>
          <w:sz w:val="44"/>
          <w:szCs w:val="44"/>
        </w:rPr>
      </w:pPr>
      <w:r>
        <w:rPr>
          <w:rFonts w:hint="eastAsia" w:ascii="宋体" w:hAnsi="宋体" w:cs="宋体"/>
          <w:b/>
          <w:bCs/>
          <w:sz w:val="40"/>
          <w:szCs w:val="40"/>
        </w:rPr>
        <w:t>目</w:t>
      </w:r>
      <w:r>
        <w:rPr>
          <w:rFonts w:ascii="宋体" w:hAnsi="宋体" w:cs="宋体"/>
          <w:b/>
          <w:bCs/>
          <w:sz w:val="40"/>
          <w:szCs w:val="40"/>
        </w:rPr>
        <w:t xml:space="preserve">  </w:t>
      </w:r>
      <w:r>
        <w:rPr>
          <w:rFonts w:hint="eastAsia" w:ascii="宋体" w:hAnsi="宋体" w:cs="宋体"/>
          <w:b/>
          <w:bCs/>
          <w:sz w:val="40"/>
          <w:szCs w:val="40"/>
        </w:rPr>
        <w:t>录</w:t>
      </w:r>
    </w:p>
    <w:p w14:paraId="63AE5783">
      <w:pPr>
        <w:pStyle w:val="30"/>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bookmarkStart w:id="0" w:name="_Hlk484387211"/>
      <w:bookmarkStart w:id="1" w:name="_Toc373314691"/>
      <w:r>
        <w:rPr>
          <w:rFonts w:ascii="宋体" w:hAnsi="宋体" w:cs="宋体"/>
          <w:sz w:val="28"/>
          <w:szCs w:val="28"/>
        </w:rPr>
        <w:fldChar w:fldCharType="begin"/>
      </w:r>
      <w:r>
        <w:rPr>
          <w:rFonts w:ascii="宋体" w:hAnsi="宋体" w:cs="宋体"/>
          <w:sz w:val="28"/>
          <w:szCs w:val="28"/>
        </w:rPr>
        <w:instrText xml:space="preserve">TOC \o "1-2" \h \u </w:instrText>
      </w:r>
      <w:r>
        <w:rPr>
          <w:rFonts w:ascii="宋体" w:hAnsi="宋体" w:cs="宋体"/>
          <w:sz w:val="28"/>
          <w:szCs w:val="28"/>
        </w:rPr>
        <w:fldChar w:fldCharType="separate"/>
      </w:r>
      <w:r>
        <w:rPr>
          <w:sz w:val="21"/>
          <w:szCs w:val="21"/>
        </w:rPr>
        <w:fldChar w:fldCharType="begin"/>
      </w:r>
      <w:r>
        <w:rPr>
          <w:sz w:val="21"/>
          <w:szCs w:val="21"/>
        </w:rPr>
        <w:instrText xml:space="preserve"> HYPERLINK \l "_Toc17153" </w:instrText>
      </w:r>
      <w:r>
        <w:rPr>
          <w:sz w:val="21"/>
          <w:szCs w:val="21"/>
        </w:rPr>
        <w:fldChar w:fldCharType="separate"/>
      </w:r>
      <w:r>
        <w:rPr>
          <w:rFonts w:hint="eastAsia" w:ascii="宋体" w:hAnsi="宋体" w:cs="宋体"/>
          <w:sz w:val="24"/>
          <w:szCs w:val="24"/>
        </w:rPr>
        <w:t>第一章</w:t>
      </w:r>
      <w:r>
        <w:rPr>
          <w:rFonts w:ascii="宋体" w:hAnsi="宋体" w:cs="宋体"/>
          <w:sz w:val="24"/>
          <w:szCs w:val="24"/>
        </w:rPr>
        <w:t xml:space="preserve"> </w:t>
      </w:r>
      <w:r>
        <w:rPr>
          <w:rFonts w:hint="eastAsia" w:ascii="宋体" w:hAnsi="宋体" w:cs="宋体"/>
          <w:sz w:val="24"/>
          <w:szCs w:val="24"/>
        </w:rPr>
        <w:t>招标公告</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_Toc17153 \h </w:instrText>
      </w:r>
      <w:r>
        <w:rPr>
          <w:rFonts w:ascii="宋体" w:hAnsi="宋体" w:cs="宋体"/>
          <w:sz w:val="24"/>
          <w:szCs w:val="24"/>
        </w:rPr>
        <w:fldChar w:fldCharType="separate"/>
      </w:r>
      <w:r>
        <w:rPr>
          <w:rFonts w:ascii="宋体" w:hAnsi="宋体" w:cs="宋体"/>
          <w:sz w:val="24"/>
          <w:szCs w:val="24"/>
        </w:rPr>
        <w:t>4</w:t>
      </w:r>
      <w:r>
        <w:rPr>
          <w:rFonts w:ascii="宋体" w:hAnsi="宋体" w:cs="宋体"/>
          <w:sz w:val="24"/>
          <w:szCs w:val="24"/>
        </w:rPr>
        <w:fldChar w:fldCharType="end"/>
      </w:r>
      <w:r>
        <w:rPr>
          <w:rFonts w:ascii="宋体" w:hAnsi="宋体" w:cs="宋体"/>
          <w:sz w:val="24"/>
          <w:szCs w:val="24"/>
        </w:rPr>
        <w:fldChar w:fldCharType="end"/>
      </w:r>
    </w:p>
    <w:p w14:paraId="27D38958">
      <w:pPr>
        <w:pStyle w:val="30"/>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"_Toc5870" </w:instrText>
      </w:r>
      <w:r>
        <w:rPr>
          <w:sz w:val="21"/>
          <w:szCs w:val="21"/>
        </w:rPr>
        <w:fldChar w:fldCharType="separate"/>
      </w:r>
      <w:r>
        <w:rPr>
          <w:rFonts w:hint="eastAsia" w:ascii="宋体" w:hAnsi="宋体" w:cs="宋体"/>
          <w:kern w:val="0"/>
          <w:sz w:val="24"/>
          <w:szCs w:val="24"/>
        </w:rPr>
        <w:t>第二章</w:t>
      </w:r>
      <w:r>
        <w:rPr>
          <w:rFonts w:ascii="宋体" w:hAnsi="宋体" w:cs="宋体"/>
          <w:kern w:val="0"/>
          <w:sz w:val="24"/>
          <w:szCs w:val="24"/>
        </w:rPr>
        <w:t xml:space="preserve">  </w:t>
      </w:r>
      <w:r>
        <w:rPr>
          <w:rFonts w:hint="eastAsia" w:ascii="宋体" w:hAnsi="宋体" w:cs="宋体"/>
          <w:kern w:val="0"/>
          <w:sz w:val="24"/>
          <w:szCs w:val="24"/>
        </w:rPr>
        <w:t>供应商须知及前附表</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_Toc5870 \h </w:instrText>
      </w:r>
      <w:r>
        <w:rPr>
          <w:rFonts w:ascii="宋体" w:hAnsi="宋体" w:cs="宋体"/>
          <w:sz w:val="24"/>
          <w:szCs w:val="24"/>
        </w:rPr>
        <w:fldChar w:fldCharType="separate"/>
      </w:r>
      <w:r>
        <w:rPr>
          <w:rFonts w:ascii="宋体" w:hAnsi="宋体" w:cs="宋体"/>
          <w:sz w:val="24"/>
          <w:szCs w:val="24"/>
        </w:rPr>
        <w:t>5</w:t>
      </w:r>
      <w:r>
        <w:rPr>
          <w:rFonts w:ascii="宋体" w:hAnsi="宋体" w:cs="宋体"/>
          <w:sz w:val="24"/>
          <w:szCs w:val="24"/>
        </w:rPr>
        <w:fldChar w:fldCharType="end"/>
      </w:r>
      <w:r>
        <w:rPr>
          <w:rFonts w:ascii="宋体" w:hAnsi="宋体" w:cs="宋体"/>
          <w:sz w:val="24"/>
          <w:szCs w:val="24"/>
        </w:rPr>
        <w:fldChar w:fldCharType="end"/>
      </w:r>
    </w:p>
    <w:p w14:paraId="34FF2850">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"_Toc1137" </w:instrText>
      </w:r>
      <w:r>
        <w:rPr>
          <w:sz w:val="21"/>
          <w:szCs w:val="21"/>
        </w:rPr>
        <w:fldChar w:fldCharType="separate"/>
      </w:r>
      <w:r>
        <w:rPr>
          <w:rFonts w:hint="eastAsia" w:ascii="宋体" w:hAnsi="宋体" w:cs="宋体"/>
          <w:kern w:val="0"/>
          <w:sz w:val="24"/>
          <w:szCs w:val="24"/>
        </w:rPr>
        <w:t>第二节、投标文件否决性条款</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_Toc1137 \h </w:instrText>
      </w:r>
      <w:r>
        <w:rPr>
          <w:rFonts w:ascii="宋体" w:hAnsi="宋体" w:cs="宋体"/>
          <w:sz w:val="24"/>
          <w:szCs w:val="24"/>
        </w:rPr>
        <w:fldChar w:fldCharType="separate"/>
      </w:r>
      <w:r>
        <w:rPr>
          <w:rFonts w:ascii="宋体" w:hAnsi="宋体" w:cs="宋体"/>
          <w:sz w:val="24"/>
          <w:szCs w:val="24"/>
        </w:rPr>
        <w:t>11</w:t>
      </w:r>
      <w:r>
        <w:rPr>
          <w:rFonts w:ascii="宋体" w:hAnsi="宋体" w:cs="宋体"/>
          <w:sz w:val="24"/>
          <w:szCs w:val="24"/>
        </w:rPr>
        <w:fldChar w:fldCharType="end"/>
      </w:r>
      <w:r>
        <w:rPr>
          <w:rFonts w:ascii="宋体" w:hAnsi="宋体" w:cs="宋体"/>
          <w:sz w:val="24"/>
          <w:szCs w:val="24"/>
        </w:rPr>
        <w:fldChar w:fldCharType="end"/>
      </w:r>
    </w:p>
    <w:p w14:paraId="3C3C9EDB">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"_Toc25112" </w:instrText>
      </w:r>
      <w:r>
        <w:rPr>
          <w:sz w:val="21"/>
          <w:szCs w:val="21"/>
        </w:rPr>
        <w:fldChar w:fldCharType="separate"/>
      </w:r>
      <w:r>
        <w:rPr>
          <w:rFonts w:hint="eastAsia" w:ascii="宋体" w:hAnsi="宋体" w:cs="宋体"/>
          <w:sz w:val="24"/>
          <w:szCs w:val="24"/>
        </w:rPr>
        <w:t>一、总则</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_Toc25112 \h </w:instrText>
      </w:r>
      <w:r>
        <w:rPr>
          <w:rFonts w:ascii="宋体" w:hAnsi="宋体" w:cs="宋体"/>
          <w:sz w:val="24"/>
          <w:szCs w:val="24"/>
        </w:rPr>
        <w:fldChar w:fldCharType="separate"/>
      </w:r>
      <w:r>
        <w:rPr>
          <w:rFonts w:ascii="宋体" w:hAnsi="宋体" w:cs="宋体"/>
          <w:sz w:val="24"/>
          <w:szCs w:val="24"/>
        </w:rPr>
        <w:t>13</w:t>
      </w:r>
      <w:r>
        <w:rPr>
          <w:rFonts w:ascii="宋体" w:hAnsi="宋体" w:cs="宋体"/>
          <w:sz w:val="24"/>
          <w:szCs w:val="24"/>
        </w:rPr>
        <w:fldChar w:fldCharType="end"/>
      </w:r>
      <w:r>
        <w:rPr>
          <w:rFonts w:ascii="宋体" w:hAnsi="宋体" w:cs="宋体"/>
          <w:sz w:val="24"/>
          <w:szCs w:val="24"/>
        </w:rPr>
        <w:fldChar w:fldCharType="end"/>
      </w:r>
    </w:p>
    <w:p w14:paraId="1236F53F">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"_Toc19037" </w:instrText>
      </w:r>
      <w:r>
        <w:rPr>
          <w:sz w:val="21"/>
          <w:szCs w:val="21"/>
        </w:rPr>
        <w:fldChar w:fldCharType="separate"/>
      </w:r>
      <w:r>
        <w:rPr>
          <w:rFonts w:hint="eastAsia" w:ascii="宋体" w:hAnsi="宋体" w:cs="宋体"/>
          <w:sz w:val="24"/>
          <w:szCs w:val="24"/>
        </w:rPr>
        <w:t>二、招标文件</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_Toc19037 \h </w:instrText>
      </w:r>
      <w:r>
        <w:rPr>
          <w:rFonts w:ascii="宋体" w:hAnsi="宋体" w:cs="宋体"/>
          <w:sz w:val="24"/>
          <w:szCs w:val="24"/>
        </w:rPr>
        <w:fldChar w:fldCharType="separate"/>
      </w:r>
      <w:r>
        <w:rPr>
          <w:rFonts w:ascii="宋体" w:hAnsi="宋体" w:cs="宋体"/>
          <w:sz w:val="24"/>
          <w:szCs w:val="24"/>
        </w:rPr>
        <w:t>14</w:t>
      </w:r>
      <w:r>
        <w:rPr>
          <w:rFonts w:ascii="宋体" w:hAnsi="宋体" w:cs="宋体"/>
          <w:sz w:val="24"/>
          <w:szCs w:val="24"/>
        </w:rPr>
        <w:fldChar w:fldCharType="end"/>
      </w:r>
      <w:r>
        <w:rPr>
          <w:rFonts w:ascii="宋体" w:hAnsi="宋体" w:cs="宋体"/>
          <w:sz w:val="24"/>
          <w:szCs w:val="24"/>
        </w:rPr>
        <w:fldChar w:fldCharType="end"/>
      </w:r>
    </w:p>
    <w:p w14:paraId="1C6BE907">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"_Toc30862" </w:instrText>
      </w:r>
      <w:r>
        <w:rPr>
          <w:sz w:val="21"/>
          <w:szCs w:val="21"/>
        </w:rPr>
        <w:fldChar w:fldCharType="separate"/>
      </w:r>
      <w:r>
        <w:rPr>
          <w:rFonts w:hint="eastAsia" w:ascii="宋体" w:hAnsi="宋体" w:cs="宋体"/>
          <w:sz w:val="24"/>
          <w:szCs w:val="24"/>
        </w:rPr>
        <w:t>三、投标文件</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_Toc30862 \h </w:instrText>
      </w:r>
      <w:r>
        <w:rPr>
          <w:rFonts w:ascii="宋体" w:hAnsi="宋体" w:cs="宋体"/>
          <w:sz w:val="24"/>
          <w:szCs w:val="24"/>
        </w:rPr>
        <w:fldChar w:fldCharType="separate"/>
      </w:r>
      <w:r>
        <w:rPr>
          <w:rFonts w:ascii="宋体" w:hAnsi="宋体" w:cs="宋体"/>
          <w:sz w:val="24"/>
          <w:szCs w:val="24"/>
        </w:rPr>
        <w:t>15</w:t>
      </w:r>
      <w:r>
        <w:rPr>
          <w:rFonts w:ascii="宋体" w:hAnsi="宋体" w:cs="宋体"/>
          <w:sz w:val="24"/>
          <w:szCs w:val="24"/>
        </w:rPr>
        <w:fldChar w:fldCharType="end"/>
      </w:r>
      <w:r>
        <w:rPr>
          <w:rFonts w:ascii="宋体" w:hAnsi="宋体" w:cs="宋体"/>
          <w:sz w:val="24"/>
          <w:szCs w:val="24"/>
        </w:rPr>
        <w:fldChar w:fldCharType="end"/>
      </w:r>
    </w:p>
    <w:p w14:paraId="0BC44D64">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"_Toc14574" </w:instrText>
      </w:r>
      <w:r>
        <w:rPr>
          <w:sz w:val="21"/>
          <w:szCs w:val="21"/>
        </w:rPr>
        <w:fldChar w:fldCharType="separate"/>
      </w:r>
      <w:r>
        <w:rPr>
          <w:rFonts w:hint="eastAsia" w:ascii="宋体" w:hAnsi="宋体" w:cs="宋体"/>
          <w:sz w:val="24"/>
          <w:szCs w:val="24"/>
        </w:rPr>
        <w:t>四、投标文件的递交</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_Toc14574 \h </w:instrText>
      </w:r>
      <w:r>
        <w:rPr>
          <w:rFonts w:ascii="宋体" w:hAnsi="宋体" w:cs="宋体"/>
          <w:sz w:val="24"/>
          <w:szCs w:val="24"/>
        </w:rPr>
        <w:fldChar w:fldCharType="separate"/>
      </w:r>
      <w:r>
        <w:rPr>
          <w:rFonts w:ascii="宋体" w:hAnsi="宋体" w:cs="宋体"/>
          <w:sz w:val="24"/>
          <w:szCs w:val="24"/>
        </w:rPr>
        <w:t>17</w:t>
      </w:r>
      <w:r>
        <w:rPr>
          <w:rFonts w:ascii="宋体" w:hAnsi="宋体" w:cs="宋体"/>
          <w:sz w:val="24"/>
          <w:szCs w:val="24"/>
        </w:rPr>
        <w:fldChar w:fldCharType="end"/>
      </w:r>
      <w:r>
        <w:rPr>
          <w:rFonts w:ascii="宋体" w:hAnsi="宋体" w:cs="宋体"/>
          <w:sz w:val="24"/>
          <w:szCs w:val="24"/>
        </w:rPr>
        <w:fldChar w:fldCharType="end"/>
      </w:r>
    </w:p>
    <w:p w14:paraId="00CE67F0">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"_Toc22310" </w:instrText>
      </w:r>
      <w:r>
        <w:rPr>
          <w:sz w:val="21"/>
          <w:szCs w:val="21"/>
        </w:rPr>
        <w:fldChar w:fldCharType="separate"/>
      </w:r>
      <w:r>
        <w:rPr>
          <w:rFonts w:hint="eastAsia" w:ascii="宋体" w:hAnsi="宋体" w:cs="宋体"/>
          <w:sz w:val="24"/>
          <w:szCs w:val="24"/>
        </w:rPr>
        <w:t>五、开标、评标与定标</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_Toc22310 \h </w:instrText>
      </w:r>
      <w:r>
        <w:rPr>
          <w:rFonts w:ascii="宋体" w:hAnsi="宋体" w:cs="宋体"/>
          <w:sz w:val="24"/>
          <w:szCs w:val="24"/>
        </w:rPr>
        <w:fldChar w:fldCharType="separate"/>
      </w:r>
      <w:r>
        <w:rPr>
          <w:rFonts w:ascii="宋体" w:hAnsi="宋体" w:cs="宋体"/>
          <w:sz w:val="24"/>
          <w:szCs w:val="24"/>
        </w:rPr>
        <w:t>18</w:t>
      </w:r>
      <w:r>
        <w:rPr>
          <w:rFonts w:ascii="宋体" w:hAnsi="宋体" w:cs="宋体"/>
          <w:sz w:val="24"/>
          <w:szCs w:val="24"/>
        </w:rPr>
        <w:fldChar w:fldCharType="end"/>
      </w:r>
      <w:r>
        <w:rPr>
          <w:rFonts w:ascii="宋体" w:hAnsi="宋体" w:cs="宋体"/>
          <w:sz w:val="24"/>
          <w:szCs w:val="24"/>
        </w:rPr>
        <w:fldChar w:fldCharType="end"/>
      </w:r>
    </w:p>
    <w:p w14:paraId="442CFCB7">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"_Toc24035" </w:instrText>
      </w:r>
      <w:r>
        <w:rPr>
          <w:sz w:val="21"/>
          <w:szCs w:val="21"/>
        </w:rPr>
        <w:fldChar w:fldCharType="separate"/>
      </w:r>
      <w:r>
        <w:rPr>
          <w:rFonts w:hint="eastAsia" w:ascii="宋体" w:hAnsi="宋体" w:cs="宋体"/>
          <w:sz w:val="24"/>
          <w:szCs w:val="24"/>
        </w:rPr>
        <w:t>六、澄清和质疑</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_Toc24035 \h </w:instrText>
      </w:r>
      <w:r>
        <w:rPr>
          <w:rFonts w:ascii="宋体" w:hAnsi="宋体" w:cs="宋体"/>
          <w:sz w:val="24"/>
          <w:szCs w:val="24"/>
        </w:rPr>
        <w:fldChar w:fldCharType="separate"/>
      </w:r>
      <w:r>
        <w:rPr>
          <w:rFonts w:ascii="宋体" w:hAnsi="宋体" w:cs="宋体"/>
          <w:sz w:val="24"/>
          <w:szCs w:val="24"/>
        </w:rPr>
        <w:t>21</w:t>
      </w:r>
      <w:r>
        <w:rPr>
          <w:rFonts w:ascii="宋体" w:hAnsi="宋体" w:cs="宋体"/>
          <w:sz w:val="24"/>
          <w:szCs w:val="24"/>
        </w:rPr>
        <w:fldChar w:fldCharType="end"/>
      </w:r>
      <w:r>
        <w:rPr>
          <w:rFonts w:ascii="宋体" w:hAnsi="宋体" w:cs="宋体"/>
          <w:sz w:val="24"/>
          <w:szCs w:val="24"/>
        </w:rPr>
        <w:fldChar w:fldCharType="end"/>
      </w:r>
    </w:p>
    <w:p w14:paraId="7C384AA8">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"_Toc26414" </w:instrText>
      </w:r>
      <w:r>
        <w:rPr>
          <w:sz w:val="21"/>
          <w:szCs w:val="21"/>
        </w:rPr>
        <w:fldChar w:fldCharType="separate"/>
      </w:r>
      <w:r>
        <w:rPr>
          <w:rFonts w:hint="eastAsia" w:ascii="宋体" w:hAnsi="宋体" w:cs="宋体"/>
          <w:sz w:val="24"/>
          <w:szCs w:val="24"/>
        </w:rPr>
        <w:t>七、签订合同</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_Toc26414 \h </w:instrText>
      </w:r>
      <w:r>
        <w:rPr>
          <w:rFonts w:ascii="宋体" w:hAnsi="宋体" w:cs="宋体"/>
          <w:sz w:val="24"/>
          <w:szCs w:val="24"/>
        </w:rPr>
        <w:fldChar w:fldCharType="separate"/>
      </w:r>
      <w:r>
        <w:rPr>
          <w:rFonts w:ascii="宋体" w:hAnsi="宋体" w:cs="宋体"/>
          <w:sz w:val="24"/>
          <w:szCs w:val="24"/>
        </w:rPr>
        <w:t>23</w:t>
      </w:r>
      <w:r>
        <w:rPr>
          <w:rFonts w:ascii="宋体" w:hAnsi="宋体" w:cs="宋体"/>
          <w:sz w:val="24"/>
          <w:szCs w:val="24"/>
        </w:rPr>
        <w:fldChar w:fldCharType="end"/>
      </w:r>
      <w:r>
        <w:rPr>
          <w:rFonts w:ascii="宋体" w:hAnsi="宋体" w:cs="宋体"/>
          <w:sz w:val="24"/>
          <w:szCs w:val="24"/>
        </w:rPr>
        <w:fldChar w:fldCharType="end"/>
      </w:r>
    </w:p>
    <w:p w14:paraId="7DD4CDC4">
      <w:pPr>
        <w:pStyle w:val="30"/>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"_Toc28088" </w:instrText>
      </w:r>
      <w:r>
        <w:rPr>
          <w:sz w:val="21"/>
          <w:szCs w:val="21"/>
        </w:rPr>
        <w:fldChar w:fldCharType="separate"/>
      </w:r>
      <w:r>
        <w:rPr>
          <w:rFonts w:hint="eastAsia" w:ascii="宋体" w:hAnsi="宋体" w:cs="宋体"/>
          <w:kern w:val="0"/>
          <w:sz w:val="24"/>
          <w:szCs w:val="24"/>
        </w:rPr>
        <w:t>第三章</w:t>
      </w:r>
      <w:r>
        <w:rPr>
          <w:rFonts w:ascii="宋体" w:hAnsi="宋体" w:cs="宋体"/>
          <w:kern w:val="0"/>
          <w:sz w:val="24"/>
          <w:szCs w:val="24"/>
        </w:rPr>
        <w:t xml:space="preserve"> </w:t>
      </w:r>
      <w:r>
        <w:rPr>
          <w:rFonts w:hint="eastAsia" w:ascii="宋体" w:hAnsi="宋体" w:cs="宋体"/>
          <w:kern w:val="0"/>
          <w:sz w:val="24"/>
          <w:szCs w:val="24"/>
        </w:rPr>
        <w:t>采购需求及要求</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_Toc28088 \h </w:instrText>
      </w:r>
      <w:r>
        <w:rPr>
          <w:rFonts w:ascii="宋体" w:hAnsi="宋体" w:cs="宋体"/>
          <w:sz w:val="24"/>
          <w:szCs w:val="24"/>
        </w:rPr>
        <w:fldChar w:fldCharType="separate"/>
      </w:r>
      <w:r>
        <w:rPr>
          <w:rFonts w:ascii="宋体" w:hAnsi="宋体" w:cs="宋体"/>
          <w:sz w:val="24"/>
          <w:szCs w:val="24"/>
        </w:rPr>
        <w:t>25</w:t>
      </w:r>
      <w:r>
        <w:rPr>
          <w:rFonts w:ascii="宋体" w:hAnsi="宋体" w:cs="宋体"/>
          <w:sz w:val="24"/>
          <w:szCs w:val="24"/>
        </w:rPr>
        <w:fldChar w:fldCharType="end"/>
      </w:r>
      <w:r>
        <w:rPr>
          <w:rFonts w:ascii="宋体" w:hAnsi="宋体" w:cs="宋体"/>
          <w:sz w:val="24"/>
          <w:szCs w:val="24"/>
        </w:rPr>
        <w:fldChar w:fldCharType="end"/>
      </w:r>
    </w:p>
    <w:p w14:paraId="26D4F68B">
      <w:pPr>
        <w:pStyle w:val="30"/>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"_Toc24496" </w:instrText>
      </w:r>
      <w:r>
        <w:rPr>
          <w:sz w:val="21"/>
          <w:szCs w:val="21"/>
        </w:rPr>
        <w:fldChar w:fldCharType="separate"/>
      </w:r>
      <w:r>
        <w:rPr>
          <w:rFonts w:hint="eastAsia" w:ascii="宋体" w:hAnsi="宋体" w:cs="宋体"/>
          <w:kern w:val="0"/>
          <w:sz w:val="24"/>
          <w:szCs w:val="24"/>
        </w:rPr>
        <w:t>第四章</w:t>
      </w:r>
      <w:r>
        <w:rPr>
          <w:rFonts w:ascii="宋体" w:hAnsi="宋体" w:cs="宋体"/>
          <w:kern w:val="0"/>
          <w:sz w:val="24"/>
          <w:szCs w:val="24"/>
        </w:rPr>
        <w:t xml:space="preserve"> </w:t>
      </w:r>
      <w:r>
        <w:rPr>
          <w:rFonts w:hint="eastAsia" w:ascii="宋体" w:hAnsi="宋体" w:cs="宋体"/>
          <w:kern w:val="0"/>
          <w:sz w:val="24"/>
          <w:szCs w:val="24"/>
        </w:rPr>
        <w:t>评标方法及标准</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_Toc24496 \h </w:instrText>
      </w:r>
      <w:r>
        <w:rPr>
          <w:rFonts w:ascii="宋体" w:hAnsi="宋体" w:cs="宋体"/>
          <w:sz w:val="24"/>
          <w:szCs w:val="24"/>
        </w:rPr>
        <w:fldChar w:fldCharType="separate"/>
      </w:r>
      <w:r>
        <w:rPr>
          <w:rFonts w:ascii="宋体" w:hAnsi="宋体" w:cs="宋体"/>
          <w:sz w:val="24"/>
          <w:szCs w:val="24"/>
        </w:rPr>
        <w:t>25</w:t>
      </w:r>
      <w:r>
        <w:rPr>
          <w:rFonts w:ascii="宋体" w:hAnsi="宋体" w:cs="宋体"/>
          <w:sz w:val="24"/>
          <w:szCs w:val="24"/>
        </w:rPr>
        <w:fldChar w:fldCharType="end"/>
      </w:r>
      <w:r>
        <w:rPr>
          <w:rFonts w:ascii="宋体" w:hAnsi="宋体" w:cs="宋体"/>
          <w:sz w:val="24"/>
          <w:szCs w:val="24"/>
        </w:rPr>
        <w:fldChar w:fldCharType="end"/>
      </w:r>
    </w:p>
    <w:p w14:paraId="349F71D1">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"_Toc7433" </w:instrText>
      </w:r>
      <w:r>
        <w:rPr>
          <w:sz w:val="21"/>
          <w:szCs w:val="21"/>
        </w:rPr>
        <w:fldChar w:fldCharType="separate"/>
      </w:r>
      <w:r>
        <w:rPr>
          <w:rFonts w:hint="eastAsia" w:ascii="宋体" w:hAnsi="宋体" w:cs="宋体"/>
          <w:sz w:val="24"/>
          <w:szCs w:val="24"/>
        </w:rPr>
        <w:t>一、总则</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_Toc7433 \h </w:instrText>
      </w:r>
      <w:r>
        <w:rPr>
          <w:rFonts w:ascii="宋体" w:hAnsi="宋体" w:cs="宋体"/>
          <w:sz w:val="24"/>
          <w:szCs w:val="24"/>
        </w:rPr>
        <w:fldChar w:fldCharType="separate"/>
      </w:r>
      <w:r>
        <w:rPr>
          <w:rFonts w:ascii="宋体" w:hAnsi="宋体" w:cs="宋体"/>
          <w:sz w:val="24"/>
          <w:szCs w:val="24"/>
        </w:rPr>
        <w:t>39</w:t>
      </w:r>
      <w:r>
        <w:rPr>
          <w:rFonts w:ascii="宋体" w:hAnsi="宋体" w:cs="宋体"/>
          <w:sz w:val="24"/>
          <w:szCs w:val="24"/>
        </w:rPr>
        <w:fldChar w:fldCharType="end"/>
      </w:r>
      <w:r>
        <w:rPr>
          <w:rFonts w:ascii="宋体" w:hAnsi="宋体" w:cs="宋体"/>
          <w:sz w:val="24"/>
          <w:szCs w:val="24"/>
        </w:rPr>
        <w:fldChar w:fldCharType="end"/>
      </w:r>
    </w:p>
    <w:p w14:paraId="3F4DEB40">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"_Toc19478" </w:instrText>
      </w:r>
      <w:r>
        <w:rPr>
          <w:sz w:val="21"/>
          <w:szCs w:val="21"/>
        </w:rPr>
        <w:fldChar w:fldCharType="separate"/>
      </w:r>
      <w:r>
        <w:rPr>
          <w:rFonts w:hint="eastAsia" w:ascii="宋体" w:hAnsi="宋体" w:cs="宋体"/>
          <w:sz w:val="24"/>
          <w:szCs w:val="24"/>
        </w:rPr>
        <w:t>二、评标程序</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_Toc19478 \h </w:instrText>
      </w:r>
      <w:r>
        <w:rPr>
          <w:rFonts w:ascii="宋体" w:hAnsi="宋体" w:cs="宋体"/>
          <w:sz w:val="24"/>
          <w:szCs w:val="24"/>
        </w:rPr>
        <w:fldChar w:fldCharType="separate"/>
      </w:r>
      <w:r>
        <w:rPr>
          <w:rFonts w:ascii="宋体" w:hAnsi="宋体" w:cs="宋体"/>
          <w:sz w:val="24"/>
          <w:szCs w:val="24"/>
        </w:rPr>
        <w:t>43</w:t>
      </w:r>
      <w:r>
        <w:rPr>
          <w:rFonts w:ascii="宋体" w:hAnsi="宋体" w:cs="宋体"/>
          <w:sz w:val="24"/>
          <w:szCs w:val="24"/>
        </w:rPr>
        <w:fldChar w:fldCharType="end"/>
      </w:r>
      <w:r>
        <w:rPr>
          <w:rFonts w:ascii="宋体" w:hAnsi="宋体" w:cs="宋体"/>
          <w:sz w:val="24"/>
          <w:szCs w:val="24"/>
        </w:rPr>
        <w:fldChar w:fldCharType="end"/>
      </w:r>
    </w:p>
    <w:p w14:paraId="30EC7F8D">
      <w:pPr>
        <w:pStyle w:val="30"/>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"_Toc21016" </w:instrText>
      </w:r>
      <w:r>
        <w:rPr>
          <w:sz w:val="21"/>
          <w:szCs w:val="21"/>
        </w:rPr>
        <w:fldChar w:fldCharType="separate"/>
      </w:r>
      <w:r>
        <w:rPr>
          <w:rFonts w:hint="eastAsia" w:ascii="宋体" w:hAnsi="宋体" w:cs="宋体"/>
          <w:kern w:val="0"/>
          <w:sz w:val="24"/>
          <w:szCs w:val="24"/>
        </w:rPr>
        <w:t>第五章</w:t>
      </w:r>
      <w:r>
        <w:rPr>
          <w:rFonts w:ascii="宋体" w:hAnsi="宋体" w:cs="宋体"/>
          <w:kern w:val="0"/>
          <w:sz w:val="24"/>
          <w:szCs w:val="24"/>
        </w:rPr>
        <w:t xml:space="preserve"> </w:t>
      </w:r>
      <w:r>
        <w:rPr>
          <w:rFonts w:hint="eastAsia" w:ascii="宋体" w:hAnsi="宋体" w:cs="宋体"/>
          <w:kern w:val="0"/>
          <w:sz w:val="24"/>
          <w:szCs w:val="24"/>
        </w:rPr>
        <w:t>投标文件格式</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_Toc21016 \h </w:instrText>
      </w:r>
      <w:r>
        <w:rPr>
          <w:rFonts w:ascii="宋体" w:hAnsi="宋体" w:cs="宋体"/>
          <w:sz w:val="24"/>
          <w:szCs w:val="24"/>
        </w:rPr>
        <w:fldChar w:fldCharType="separate"/>
      </w:r>
      <w:r>
        <w:rPr>
          <w:rFonts w:ascii="宋体" w:hAnsi="宋体" w:cs="宋体"/>
          <w:sz w:val="24"/>
          <w:szCs w:val="24"/>
        </w:rPr>
        <w:t>46</w:t>
      </w:r>
      <w:r>
        <w:rPr>
          <w:rFonts w:ascii="宋体" w:hAnsi="宋体" w:cs="宋体"/>
          <w:sz w:val="24"/>
          <w:szCs w:val="24"/>
        </w:rPr>
        <w:fldChar w:fldCharType="end"/>
      </w:r>
      <w:r>
        <w:rPr>
          <w:rFonts w:ascii="宋体" w:hAnsi="宋体" w:cs="宋体"/>
          <w:sz w:val="24"/>
          <w:szCs w:val="24"/>
        </w:rPr>
        <w:fldChar w:fldCharType="end"/>
      </w:r>
    </w:p>
    <w:p w14:paraId="5F14E0B8">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"_Toc27970" </w:instrText>
      </w:r>
      <w:r>
        <w:rPr>
          <w:sz w:val="21"/>
          <w:szCs w:val="21"/>
        </w:rPr>
        <w:fldChar w:fldCharType="separate"/>
      </w:r>
      <w:r>
        <w:rPr>
          <w:rFonts w:hint="eastAsia" w:ascii="宋体" w:hAnsi="宋体" w:cs="宋体"/>
          <w:sz w:val="24"/>
          <w:szCs w:val="24"/>
        </w:rPr>
        <w:t>一、投标文件封面</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_Toc27970 \h </w:instrText>
      </w:r>
      <w:r>
        <w:rPr>
          <w:rFonts w:ascii="宋体" w:hAnsi="宋体" w:cs="宋体"/>
          <w:sz w:val="24"/>
          <w:szCs w:val="24"/>
        </w:rPr>
        <w:fldChar w:fldCharType="separate"/>
      </w:r>
      <w:r>
        <w:rPr>
          <w:rFonts w:ascii="宋体" w:hAnsi="宋体" w:cs="宋体"/>
          <w:sz w:val="24"/>
          <w:szCs w:val="24"/>
        </w:rPr>
        <w:t>46</w:t>
      </w:r>
      <w:r>
        <w:rPr>
          <w:rFonts w:ascii="宋体" w:hAnsi="宋体" w:cs="宋体"/>
          <w:sz w:val="24"/>
          <w:szCs w:val="24"/>
        </w:rPr>
        <w:fldChar w:fldCharType="end"/>
      </w:r>
      <w:r>
        <w:rPr>
          <w:rFonts w:ascii="宋体" w:hAnsi="宋体" w:cs="宋体"/>
          <w:sz w:val="24"/>
          <w:szCs w:val="24"/>
        </w:rPr>
        <w:fldChar w:fldCharType="end"/>
      </w:r>
    </w:p>
    <w:p w14:paraId="5632C7C5">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"_Toc8222" </w:instrText>
      </w:r>
      <w:r>
        <w:rPr>
          <w:sz w:val="21"/>
          <w:szCs w:val="21"/>
        </w:rPr>
        <w:fldChar w:fldCharType="separate"/>
      </w:r>
      <w:r>
        <w:rPr>
          <w:rFonts w:hint="eastAsia" w:ascii="宋体" w:hAnsi="宋体" w:cs="宋体"/>
          <w:sz w:val="24"/>
          <w:szCs w:val="24"/>
        </w:rPr>
        <w:t>二、投标承诺书</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_Toc8222 \h </w:instrText>
      </w:r>
      <w:r>
        <w:rPr>
          <w:rFonts w:ascii="宋体" w:hAnsi="宋体" w:cs="宋体"/>
          <w:sz w:val="24"/>
          <w:szCs w:val="24"/>
        </w:rPr>
        <w:fldChar w:fldCharType="separate"/>
      </w:r>
      <w:r>
        <w:rPr>
          <w:rFonts w:ascii="宋体" w:hAnsi="宋体" w:cs="宋体"/>
          <w:sz w:val="24"/>
          <w:szCs w:val="24"/>
        </w:rPr>
        <w:t>46</w:t>
      </w:r>
      <w:r>
        <w:rPr>
          <w:rFonts w:ascii="宋体" w:hAnsi="宋体" w:cs="宋体"/>
          <w:sz w:val="24"/>
          <w:szCs w:val="24"/>
        </w:rPr>
        <w:fldChar w:fldCharType="end"/>
      </w:r>
      <w:r>
        <w:rPr>
          <w:rFonts w:ascii="宋体" w:hAnsi="宋体" w:cs="宋体"/>
          <w:sz w:val="24"/>
          <w:szCs w:val="24"/>
        </w:rPr>
        <w:fldChar w:fldCharType="end"/>
      </w:r>
    </w:p>
    <w:p w14:paraId="470A9673">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"_Toc5807" </w:instrText>
      </w:r>
      <w:r>
        <w:rPr>
          <w:sz w:val="21"/>
          <w:szCs w:val="21"/>
        </w:rPr>
        <w:fldChar w:fldCharType="separate"/>
      </w:r>
      <w:r>
        <w:rPr>
          <w:rFonts w:hint="eastAsia" w:ascii="宋体" w:hAnsi="宋体" w:cs="宋体"/>
          <w:sz w:val="24"/>
          <w:szCs w:val="24"/>
        </w:rPr>
        <w:t>三、投标函</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_Toc5807 \h </w:instrText>
      </w:r>
      <w:r>
        <w:rPr>
          <w:rFonts w:ascii="宋体" w:hAnsi="宋体" w:cs="宋体"/>
          <w:sz w:val="24"/>
          <w:szCs w:val="24"/>
        </w:rPr>
        <w:fldChar w:fldCharType="separate"/>
      </w:r>
      <w:r>
        <w:rPr>
          <w:rFonts w:ascii="宋体" w:hAnsi="宋体" w:cs="宋体"/>
          <w:sz w:val="24"/>
          <w:szCs w:val="24"/>
        </w:rPr>
        <w:t>47</w:t>
      </w:r>
      <w:r>
        <w:rPr>
          <w:rFonts w:ascii="宋体" w:hAnsi="宋体" w:cs="宋体"/>
          <w:sz w:val="24"/>
          <w:szCs w:val="24"/>
        </w:rPr>
        <w:fldChar w:fldCharType="end"/>
      </w:r>
      <w:r>
        <w:rPr>
          <w:rFonts w:ascii="宋体" w:hAnsi="宋体" w:cs="宋体"/>
          <w:sz w:val="24"/>
          <w:szCs w:val="24"/>
        </w:rPr>
        <w:fldChar w:fldCharType="end"/>
      </w:r>
    </w:p>
    <w:p w14:paraId="4D10E857">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"_Toc28929" </w:instrText>
      </w:r>
      <w:r>
        <w:rPr>
          <w:sz w:val="21"/>
          <w:szCs w:val="21"/>
        </w:rPr>
        <w:fldChar w:fldCharType="separate"/>
      </w:r>
      <w:r>
        <w:rPr>
          <w:rFonts w:hint="eastAsia" w:ascii="宋体" w:hAnsi="宋体" w:cs="宋体"/>
          <w:sz w:val="24"/>
          <w:szCs w:val="24"/>
        </w:rPr>
        <w:t>四、开标报价一览表</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_Toc28929 \h </w:instrText>
      </w:r>
      <w:r>
        <w:rPr>
          <w:rFonts w:ascii="宋体" w:hAnsi="宋体" w:cs="宋体"/>
          <w:sz w:val="24"/>
          <w:szCs w:val="24"/>
        </w:rPr>
        <w:fldChar w:fldCharType="separate"/>
      </w:r>
      <w:r>
        <w:rPr>
          <w:rFonts w:ascii="宋体" w:hAnsi="宋体" w:cs="宋体"/>
          <w:sz w:val="24"/>
          <w:szCs w:val="24"/>
        </w:rPr>
        <w:t>49</w:t>
      </w:r>
      <w:r>
        <w:rPr>
          <w:rFonts w:ascii="宋体" w:hAnsi="宋体" w:cs="宋体"/>
          <w:sz w:val="24"/>
          <w:szCs w:val="24"/>
        </w:rPr>
        <w:fldChar w:fldCharType="end"/>
      </w:r>
      <w:r>
        <w:rPr>
          <w:rFonts w:ascii="宋体" w:hAnsi="宋体" w:cs="宋体"/>
          <w:sz w:val="24"/>
          <w:szCs w:val="24"/>
        </w:rPr>
        <w:fldChar w:fldCharType="end"/>
      </w:r>
    </w:p>
    <w:p w14:paraId="4ACD186A">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"_Toc9647" </w:instrText>
      </w:r>
      <w:r>
        <w:rPr>
          <w:sz w:val="21"/>
          <w:szCs w:val="21"/>
        </w:rPr>
        <w:fldChar w:fldCharType="separate"/>
      </w:r>
      <w:r>
        <w:rPr>
          <w:rFonts w:hint="eastAsia" w:ascii="宋体" w:hAnsi="宋体" w:cs="宋体"/>
          <w:sz w:val="24"/>
          <w:szCs w:val="24"/>
        </w:rPr>
        <w:t>五、分项价格表</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_Toc9647 \h </w:instrText>
      </w:r>
      <w:r>
        <w:rPr>
          <w:rFonts w:ascii="宋体" w:hAnsi="宋体" w:cs="宋体"/>
          <w:sz w:val="24"/>
          <w:szCs w:val="24"/>
        </w:rPr>
        <w:fldChar w:fldCharType="separate"/>
      </w:r>
      <w:r>
        <w:rPr>
          <w:rFonts w:ascii="宋体" w:hAnsi="宋体" w:cs="宋体"/>
          <w:sz w:val="24"/>
          <w:szCs w:val="24"/>
        </w:rPr>
        <w:t>50</w:t>
      </w:r>
      <w:r>
        <w:rPr>
          <w:rFonts w:ascii="宋体" w:hAnsi="宋体" w:cs="宋体"/>
          <w:sz w:val="24"/>
          <w:szCs w:val="24"/>
        </w:rPr>
        <w:fldChar w:fldCharType="end"/>
      </w:r>
      <w:r>
        <w:rPr>
          <w:rFonts w:ascii="宋体" w:hAnsi="宋体" w:cs="宋体"/>
          <w:sz w:val="24"/>
          <w:szCs w:val="24"/>
        </w:rPr>
        <w:fldChar w:fldCharType="end"/>
      </w:r>
    </w:p>
    <w:p w14:paraId="2F15B29A">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"_Toc934" </w:instrText>
      </w:r>
      <w:r>
        <w:rPr>
          <w:sz w:val="21"/>
          <w:szCs w:val="21"/>
        </w:rPr>
        <w:fldChar w:fldCharType="separate"/>
      </w:r>
      <w:r>
        <w:rPr>
          <w:rFonts w:hint="eastAsia" w:ascii="宋体" w:hAnsi="宋体" w:cs="宋体"/>
          <w:sz w:val="24"/>
          <w:szCs w:val="24"/>
        </w:rPr>
        <w:t>六、投标人资格证明文件</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_Toc934 \h </w:instrText>
      </w:r>
      <w:r>
        <w:rPr>
          <w:rFonts w:ascii="宋体" w:hAnsi="宋体" w:cs="宋体"/>
          <w:sz w:val="24"/>
          <w:szCs w:val="24"/>
        </w:rPr>
        <w:fldChar w:fldCharType="separate"/>
      </w:r>
      <w:r>
        <w:rPr>
          <w:rFonts w:ascii="宋体" w:hAnsi="宋体" w:cs="宋体"/>
          <w:sz w:val="24"/>
          <w:szCs w:val="24"/>
        </w:rPr>
        <w:t>50</w:t>
      </w:r>
      <w:r>
        <w:rPr>
          <w:rFonts w:ascii="宋体" w:hAnsi="宋体" w:cs="宋体"/>
          <w:sz w:val="24"/>
          <w:szCs w:val="24"/>
        </w:rPr>
        <w:fldChar w:fldCharType="end"/>
      </w:r>
      <w:r>
        <w:rPr>
          <w:rFonts w:ascii="宋体" w:hAnsi="宋体" w:cs="宋体"/>
          <w:sz w:val="24"/>
          <w:szCs w:val="24"/>
        </w:rPr>
        <w:fldChar w:fldCharType="end"/>
      </w:r>
    </w:p>
    <w:p w14:paraId="34FA3A7D">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"_Toc24814" </w:instrText>
      </w:r>
      <w:r>
        <w:rPr>
          <w:sz w:val="21"/>
          <w:szCs w:val="21"/>
        </w:rPr>
        <w:fldChar w:fldCharType="separate"/>
      </w:r>
      <w:r>
        <w:rPr>
          <w:rFonts w:hint="eastAsia" w:ascii="宋体" w:hAnsi="宋体" w:cs="宋体"/>
          <w:sz w:val="24"/>
          <w:szCs w:val="24"/>
        </w:rPr>
        <w:t>七、商务服务响应偏离表</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_Toc24814 \h </w:instrText>
      </w:r>
      <w:r>
        <w:rPr>
          <w:rFonts w:ascii="宋体" w:hAnsi="宋体" w:cs="宋体"/>
          <w:sz w:val="24"/>
          <w:szCs w:val="24"/>
        </w:rPr>
        <w:fldChar w:fldCharType="separate"/>
      </w:r>
      <w:r>
        <w:rPr>
          <w:rFonts w:ascii="宋体" w:hAnsi="宋体" w:cs="宋体"/>
          <w:sz w:val="24"/>
          <w:szCs w:val="24"/>
        </w:rPr>
        <w:t>56</w:t>
      </w:r>
      <w:r>
        <w:rPr>
          <w:rFonts w:ascii="宋体" w:hAnsi="宋体" w:cs="宋体"/>
          <w:sz w:val="24"/>
          <w:szCs w:val="24"/>
        </w:rPr>
        <w:fldChar w:fldCharType="end"/>
      </w:r>
      <w:r>
        <w:rPr>
          <w:rFonts w:ascii="宋体" w:hAnsi="宋体" w:cs="宋体"/>
          <w:sz w:val="24"/>
          <w:szCs w:val="24"/>
        </w:rPr>
        <w:fldChar w:fldCharType="end"/>
      </w:r>
    </w:p>
    <w:p w14:paraId="484F92A4">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"_Toc25086" </w:instrText>
      </w:r>
      <w:r>
        <w:rPr>
          <w:sz w:val="21"/>
          <w:szCs w:val="21"/>
        </w:rPr>
        <w:fldChar w:fldCharType="separate"/>
      </w:r>
      <w:r>
        <w:rPr>
          <w:rFonts w:hint="eastAsia" w:ascii="宋体" w:hAnsi="宋体" w:cs="宋体"/>
          <w:sz w:val="24"/>
          <w:szCs w:val="24"/>
        </w:rPr>
        <w:t>八、投标技术方案响应表</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_Toc25086 \h </w:instrText>
      </w:r>
      <w:r>
        <w:rPr>
          <w:rFonts w:ascii="宋体" w:hAnsi="宋体" w:cs="宋体"/>
          <w:sz w:val="24"/>
          <w:szCs w:val="24"/>
        </w:rPr>
        <w:fldChar w:fldCharType="separate"/>
      </w:r>
      <w:r>
        <w:rPr>
          <w:rFonts w:ascii="宋体" w:hAnsi="宋体" w:cs="宋体"/>
          <w:sz w:val="24"/>
          <w:szCs w:val="24"/>
        </w:rPr>
        <w:t>57</w:t>
      </w:r>
      <w:r>
        <w:rPr>
          <w:rFonts w:ascii="宋体" w:hAnsi="宋体" w:cs="宋体"/>
          <w:sz w:val="24"/>
          <w:szCs w:val="24"/>
        </w:rPr>
        <w:fldChar w:fldCharType="end"/>
      </w:r>
      <w:r>
        <w:rPr>
          <w:rFonts w:ascii="宋体" w:hAnsi="宋体" w:cs="宋体"/>
          <w:sz w:val="24"/>
          <w:szCs w:val="24"/>
        </w:rPr>
        <w:fldChar w:fldCharType="end"/>
      </w:r>
    </w:p>
    <w:p w14:paraId="602975DE">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"_Toc30860" </w:instrText>
      </w:r>
      <w:r>
        <w:rPr>
          <w:sz w:val="21"/>
          <w:szCs w:val="21"/>
        </w:rPr>
        <w:fldChar w:fldCharType="separate"/>
      </w:r>
      <w:r>
        <w:rPr>
          <w:rFonts w:hint="eastAsia" w:ascii="宋体" w:hAnsi="宋体" w:cs="宋体"/>
          <w:sz w:val="24"/>
          <w:szCs w:val="24"/>
        </w:rPr>
        <w:t>九、业绩</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_Toc30860 \h </w:instrText>
      </w:r>
      <w:r>
        <w:rPr>
          <w:rFonts w:ascii="宋体" w:hAnsi="宋体" w:cs="宋体"/>
          <w:sz w:val="24"/>
          <w:szCs w:val="24"/>
        </w:rPr>
        <w:fldChar w:fldCharType="separate"/>
      </w:r>
      <w:r>
        <w:rPr>
          <w:rFonts w:ascii="宋体" w:hAnsi="宋体" w:cs="宋体"/>
          <w:sz w:val="24"/>
          <w:szCs w:val="24"/>
        </w:rPr>
        <w:t>60</w:t>
      </w:r>
      <w:r>
        <w:rPr>
          <w:rFonts w:ascii="宋体" w:hAnsi="宋体" w:cs="宋体"/>
          <w:sz w:val="24"/>
          <w:szCs w:val="24"/>
        </w:rPr>
        <w:fldChar w:fldCharType="end"/>
      </w:r>
      <w:r>
        <w:rPr>
          <w:rFonts w:ascii="宋体" w:hAnsi="宋体" w:cs="宋体"/>
          <w:sz w:val="24"/>
          <w:szCs w:val="24"/>
        </w:rPr>
        <w:fldChar w:fldCharType="end"/>
      </w:r>
    </w:p>
    <w:p w14:paraId="2E08AD09">
      <w:pPr>
        <w:pStyle w:val="35"/>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"_Toc25345" </w:instrText>
      </w:r>
      <w:r>
        <w:rPr>
          <w:sz w:val="21"/>
          <w:szCs w:val="21"/>
        </w:rPr>
        <w:fldChar w:fldCharType="separate"/>
      </w:r>
      <w:r>
        <w:rPr>
          <w:rFonts w:hint="eastAsia" w:ascii="宋体" w:hAnsi="宋体" w:cs="宋体"/>
          <w:sz w:val="24"/>
          <w:szCs w:val="24"/>
        </w:rPr>
        <w:t>十、落实政府采购支持中小企业政策</w:t>
      </w:r>
      <w:r>
        <w:rPr>
          <w:rFonts w:ascii="宋体" w:cs="宋体"/>
          <w:sz w:val="24"/>
          <w:szCs w:val="24"/>
        </w:rPr>
        <w:t>-</w:t>
      </w:r>
      <w:r>
        <w:rPr>
          <w:rFonts w:hint="eastAsia" w:ascii="宋体" w:hAnsi="宋体" w:cs="宋体"/>
          <w:sz w:val="24"/>
          <w:szCs w:val="24"/>
        </w:rPr>
        <w:t>“政采贷”助力中小企业便捷融资</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_Toc25345 \h </w:instrText>
      </w:r>
      <w:r>
        <w:rPr>
          <w:rFonts w:ascii="宋体" w:hAnsi="宋体" w:cs="宋体"/>
          <w:sz w:val="24"/>
          <w:szCs w:val="24"/>
        </w:rPr>
        <w:fldChar w:fldCharType="separate"/>
      </w:r>
      <w:r>
        <w:rPr>
          <w:rFonts w:ascii="宋体" w:hAnsi="宋体" w:cs="宋体"/>
          <w:sz w:val="24"/>
          <w:szCs w:val="24"/>
        </w:rPr>
        <w:t>61</w:t>
      </w:r>
      <w:r>
        <w:rPr>
          <w:rFonts w:ascii="宋体" w:hAnsi="宋体" w:cs="宋体"/>
          <w:sz w:val="24"/>
          <w:szCs w:val="24"/>
        </w:rPr>
        <w:fldChar w:fldCharType="end"/>
      </w:r>
      <w:r>
        <w:rPr>
          <w:rFonts w:ascii="宋体" w:hAnsi="宋体" w:cs="宋体"/>
          <w:sz w:val="24"/>
          <w:szCs w:val="24"/>
        </w:rPr>
        <w:fldChar w:fldCharType="end"/>
      </w:r>
    </w:p>
    <w:p w14:paraId="0527AFFC">
      <w:pPr>
        <w:pStyle w:val="30"/>
        <w:keepNext w:val="0"/>
        <w:keepLines w:val="0"/>
        <w:pageBreakBefore w:val="0"/>
        <w:widowControl w:val="0"/>
        <w:tabs>
          <w:tab w:val="right" w:leader="dot" w:pos="8335"/>
        </w:tabs>
        <w:kinsoku/>
        <w:wordWrap/>
        <w:overflowPunct/>
        <w:topLinePunct w:val="0"/>
        <w:autoSpaceDE/>
        <w:autoSpaceDN/>
        <w:bidi w:val="0"/>
        <w:adjustRightInd/>
        <w:snapToGrid/>
        <w:spacing w:line="400" w:lineRule="exact"/>
        <w:textAlignment w:val="auto"/>
        <w:rPr>
          <w:rFonts w:ascii="宋体" w:cs="Times New Roman"/>
          <w:sz w:val="24"/>
          <w:szCs w:val="24"/>
        </w:rPr>
      </w:pPr>
      <w:r>
        <w:rPr>
          <w:sz w:val="21"/>
          <w:szCs w:val="21"/>
        </w:rPr>
        <w:fldChar w:fldCharType="begin"/>
      </w:r>
      <w:r>
        <w:rPr>
          <w:sz w:val="21"/>
          <w:szCs w:val="21"/>
        </w:rPr>
        <w:instrText xml:space="preserve"> HYPERLINK \l "_Toc9273" </w:instrText>
      </w:r>
      <w:r>
        <w:rPr>
          <w:sz w:val="21"/>
          <w:szCs w:val="21"/>
        </w:rPr>
        <w:fldChar w:fldCharType="separate"/>
      </w:r>
      <w:r>
        <w:rPr>
          <w:rFonts w:hint="eastAsia" w:ascii="宋体" w:hAnsi="宋体" w:cs="宋体"/>
          <w:kern w:val="0"/>
          <w:sz w:val="24"/>
          <w:szCs w:val="24"/>
        </w:rPr>
        <w:t>第六章</w:t>
      </w:r>
      <w:r>
        <w:rPr>
          <w:rFonts w:ascii="宋体" w:hAnsi="宋体" w:cs="宋体"/>
          <w:kern w:val="0"/>
          <w:sz w:val="24"/>
          <w:szCs w:val="24"/>
        </w:rPr>
        <w:t xml:space="preserve"> </w:t>
      </w:r>
      <w:r>
        <w:rPr>
          <w:rFonts w:hint="eastAsia" w:ascii="宋体" w:hAnsi="宋体" w:cs="宋体"/>
          <w:kern w:val="0"/>
          <w:sz w:val="24"/>
          <w:szCs w:val="24"/>
        </w:rPr>
        <w:t>政府采购合同（以实际签订的合同为准）</w:t>
      </w:r>
      <w:r>
        <w:rPr>
          <w:rFonts w:ascii="宋体" w:cs="Times New Roman"/>
          <w:sz w:val="24"/>
          <w:szCs w:val="24"/>
        </w:rPr>
        <w:tab/>
      </w:r>
      <w:r>
        <w:rPr>
          <w:rFonts w:ascii="宋体" w:hAnsi="宋体" w:cs="宋体"/>
          <w:sz w:val="24"/>
          <w:szCs w:val="24"/>
        </w:rPr>
        <w:fldChar w:fldCharType="begin"/>
      </w:r>
      <w:r>
        <w:rPr>
          <w:rFonts w:ascii="宋体" w:hAnsi="宋体" w:cs="宋体"/>
          <w:sz w:val="24"/>
          <w:szCs w:val="24"/>
        </w:rPr>
        <w:instrText xml:space="preserve"> PAGEREF _Toc9273 \h </w:instrText>
      </w:r>
      <w:r>
        <w:rPr>
          <w:rFonts w:ascii="宋体" w:hAnsi="宋体" w:cs="宋体"/>
          <w:sz w:val="24"/>
          <w:szCs w:val="24"/>
        </w:rPr>
        <w:fldChar w:fldCharType="separate"/>
      </w:r>
      <w:r>
        <w:rPr>
          <w:rFonts w:ascii="宋体" w:hAnsi="宋体" w:cs="宋体"/>
          <w:sz w:val="24"/>
          <w:szCs w:val="24"/>
        </w:rPr>
        <w:t>66</w:t>
      </w:r>
      <w:r>
        <w:rPr>
          <w:rFonts w:ascii="宋体" w:hAnsi="宋体" w:cs="宋体"/>
          <w:sz w:val="24"/>
          <w:szCs w:val="24"/>
        </w:rPr>
        <w:fldChar w:fldCharType="end"/>
      </w:r>
      <w:r>
        <w:rPr>
          <w:rFonts w:ascii="宋体" w:hAnsi="宋体" w:cs="宋体"/>
          <w:sz w:val="24"/>
          <w:szCs w:val="24"/>
        </w:rPr>
        <w:fldChar w:fldCharType="end"/>
      </w:r>
    </w:p>
    <w:p w14:paraId="331FBD6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sz w:val="22"/>
          <w:szCs w:val="22"/>
        </w:rPr>
      </w:pPr>
      <w:r>
        <w:rPr>
          <w:rFonts w:ascii="宋体" w:hAnsi="宋体" w:cs="宋体"/>
          <w:sz w:val="28"/>
          <w:szCs w:val="28"/>
        </w:rPr>
        <w:fldChar w:fldCharType="end"/>
      </w:r>
    </w:p>
    <w:p w14:paraId="7CACE97B">
      <w:pPr>
        <w:pageBreakBefore/>
        <w:spacing w:line="360" w:lineRule="exact"/>
        <w:rPr>
          <w:rFonts w:ascii="宋体"/>
          <w:sz w:val="22"/>
          <w:szCs w:val="22"/>
        </w:rPr>
      </w:pPr>
    </w:p>
    <w:p w14:paraId="6F888DB7">
      <w:pPr>
        <w:spacing w:line="360" w:lineRule="exact"/>
        <w:rPr>
          <w:rFonts w:ascii="宋体"/>
          <w:sz w:val="22"/>
          <w:szCs w:val="22"/>
        </w:rPr>
      </w:pPr>
    </w:p>
    <w:p w14:paraId="529513FE">
      <w:pPr>
        <w:spacing w:line="360" w:lineRule="exact"/>
        <w:rPr>
          <w:rFonts w:ascii="宋体"/>
          <w:sz w:val="22"/>
          <w:szCs w:val="22"/>
        </w:rPr>
      </w:pPr>
    </w:p>
    <w:p w14:paraId="3D84ECC8">
      <w:pPr>
        <w:spacing w:line="360" w:lineRule="exact"/>
        <w:rPr>
          <w:rFonts w:ascii="宋体"/>
          <w:b/>
          <w:bCs/>
          <w:sz w:val="36"/>
          <w:szCs w:val="36"/>
        </w:rPr>
      </w:pPr>
      <w:r>
        <w:rPr>
          <w:rFonts w:hint="eastAsia" w:ascii="宋体" w:hAnsi="宋体" w:cs="宋体"/>
          <w:b/>
          <w:bCs/>
          <w:sz w:val="36"/>
          <w:szCs w:val="36"/>
        </w:rPr>
        <w:t>特别提示：</w:t>
      </w:r>
    </w:p>
    <w:p w14:paraId="74B219A6">
      <w:pPr>
        <w:pStyle w:val="4"/>
        <w:adjustRightInd w:val="0"/>
        <w:snapToGrid w:val="0"/>
        <w:spacing w:line="360" w:lineRule="auto"/>
        <w:ind w:firstLine="708" w:firstLineChars="196"/>
        <w:rPr>
          <w:rFonts w:ascii="宋体"/>
          <w:b/>
          <w:bCs/>
          <w:sz w:val="36"/>
          <w:szCs w:val="36"/>
        </w:rPr>
      </w:pPr>
    </w:p>
    <w:p w14:paraId="4F1CCE18">
      <w:pPr>
        <w:pStyle w:val="4"/>
        <w:adjustRightInd w:val="0"/>
        <w:snapToGrid w:val="0"/>
        <w:spacing w:line="360" w:lineRule="auto"/>
        <w:ind w:firstLine="708" w:firstLineChars="196"/>
        <w:rPr>
          <w:rFonts w:ascii="宋体"/>
          <w:b/>
          <w:bCs/>
          <w:sz w:val="56"/>
          <w:szCs w:val="56"/>
        </w:rPr>
      </w:pPr>
      <w:r>
        <w:rPr>
          <w:rFonts w:hint="eastAsia" w:ascii="宋体" w:hAnsi="宋体" w:cs="宋体"/>
          <w:b/>
          <w:bCs/>
          <w:sz w:val="36"/>
          <w:szCs w:val="36"/>
        </w:rPr>
        <w:t>请各参与项目的供应商认真阅读招标文件的所有条款，严格按规定的交易流程完成各阶段的投标工作，及时查看甘肃省政府采购网上的关于该项目相关信息，否则造成后果由投标人自负。</w:t>
      </w:r>
    </w:p>
    <w:bookmarkEnd w:id="0"/>
    <w:p w14:paraId="53DE1991">
      <w:pPr>
        <w:pStyle w:val="44"/>
        <w:ind w:firstLine="31680"/>
      </w:pPr>
    </w:p>
    <w:p w14:paraId="11F12371">
      <w:pPr>
        <w:numPr>
          <w:ilvl w:val="0"/>
          <w:numId w:val="2"/>
        </w:numPr>
        <w:spacing w:line="640" w:lineRule="exact"/>
        <w:jc w:val="center"/>
        <w:outlineLvl w:val="0"/>
        <w:rPr>
          <w:rFonts w:ascii="宋体"/>
          <w:b/>
          <w:bCs/>
          <w:sz w:val="36"/>
          <w:szCs w:val="36"/>
        </w:rPr>
      </w:pPr>
      <w:r>
        <w:rPr>
          <w:rFonts w:ascii="宋体"/>
          <w:sz w:val="32"/>
          <w:szCs w:val="32"/>
        </w:rPr>
        <w:br w:type="page"/>
      </w:r>
      <w:bookmarkStart w:id="2" w:name="_Toc7612"/>
      <w:bookmarkStart w:id="3" w:name="_Toc10913"/>
      <w:bookmarkStart w:id="4" w:name="_Toc484102374"/>
      <w:r>
        <w:rPr>
          <w:rFonts w:ascii="宋体" w:hAnsi="宋体" w:cs="宋体"/>
          <w:b/>
          <w:bCs/>
          <w:sz w:val="36"/>
          <w:szCs w:val="36"/>
        </w:rPr>
        <w:t xml:space="preserve"> </w:t>
      </w:r>
      <w:bookmarkStart w:id="5" w:name="_Toc17153"/>
      <w:bookmarkStart w:id="6" w:name="_Toc32708"/>
      <w:r>
        <w:rPr>
          <w:rFonts w:hint="eastAsia" w:ascii="宋体" w:hAnsi="宋体" w:cs="宋体"/>
          <w:b/>
          <w:bCs/>
          <w:sz w:val="36"/>
          <w:szCs w:val="36"/>
        </w:rPr>
        <w:t>招标公告</w:t>
      </w:r>
      <w:bookmarkEnd w:id="1"/>
      <w:bookmarkEnd w:id="2"/>
      <w:bookmarkEnd w:id="3"/>
      <w:bookmarkEnd w:id="4"/>
      <w:bookmarkEnd w:id="5"/>
      <w:bookmarkEnd w:id="6"/>
      <w:bookmarkStart w:id="7" w:name="_Toc373314696"/>
    </w:p>
    <w:p w14:paraId="7438C567">
      <w:pPr>
        <w:keepNext w:val="0"/>
        <w:keepLines w:val="0"/>
        <w:widowControl/>
        <w:suppressLineNumbers w:val="0"/>
        <w:spacing w:before="75" w:beforeAutospacing="0" w:after="75" w:afterAutospacing="0"/>
        <w:ind w:left="0" w:right="0" w:firstLine="420"/>
        <w:jc w:val="center"/>
        <w:rPr>
          <w:rFonts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44"/>
          <w:szCs w:val="44"/>
          <w:lang w:val="en-US" w:eastAsia="zh-CN" w:bidi="ar"/>
        </w:rPr>
        <w:t>陇南市住房公积金管理中心核心业务系统升级建设项目公开招标公告</w:t>
      </w:r>
    </w:p>
    <w:p w14:paraId="2F9DB98B">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18"/>
          <w:szCs w:val="18"/>
        </w:rPr>
      </w:pPr>
    </w:p>
    <w:p w14:paraId="664A1CD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u w:val="single"/>
          <w:lang w:val="en-US" w:eastAsia="zh-CN" w:bidi="ar"/>
        </w:rPr>
        <w:t>陇南市住房公积金管理中心</w:t>
      </w:r>
      <w:r>
        <w:rPr>
          <w:rFonts w:hint="default" w:ascii="Tahoma" w:hAnsi="Tahoma" w:eastAsia="Tahoma" w:cs="Tahoma"/>
          <w:i w:val="0"/>
          <w:iCs w:val="0"/>
          <w:caps w:val="0"/>
          <w:color w:val="000000"/>
          <w:spacing w:val="0"/>
          <w:kern w:val="0"/>
          <w:sz w:val="18"/>
          <w:szCs w:val="18"/>
          <w:lang w:val="en-US" w:eastAsia="zh-CN" w:bidi="ar"/>
        </w:rPr>
        <w:t>招标项目的潜在投标人应在</w:t>
      </w:r>
      <w:r>
        <w:rPr>
          <w:rFonts w:hint="default" w:ascii="Tahoma" w:hAnsi="Tahoma" w:eastAsia="Tahoma" w:cs="Tahoma"/>
          <w:i w:val="0"/>
          <w:iCs w:val="0"/>
          <w:caps w:val="0"/>
          <w:color w:val="000000"/>
          <w:spacing w:val="0"/>
          <w:kern w:val="0"/>
          <w:sz w:val="18"/>
          <w:szCs w:val="18"/>
          <w:u w:val="single"/>
          <w:lang w:val="en-US" w:eastAsia="zh-CN" w:bidi="ar"/>
        </w:rPr>
        <w:t>陇南市公共资源交易网（http://60.164.200.102/）免费下载 </w:t>
      </w:r>
      <w:r>
        <w:rPr>
          <w:rFonts w:hint="default" w:ascii="Tahoma" w:hAnsi="Tahoma" w:eastAsia="Tahoma" w:cs="Tahoma"/>
          <w:i w:val="0"/>
          <w:iCs w:val="0"/>
          <w:caps w:val="0"/>
          <w:color w:val="000000"/>
          <w:spacing w:val="0"/>
          <w:kern w:val="0"/>
          <w:sz w:val="18"/>
          <w:szCs w:val="18"/>
          <w:lang w:val="en-US" w:eastAsia="zh-CN" w:bidi="ar"/>
        </w:rPr>
        <w:t>获取招标文件，并于</w:t>
      </w:r>
      <w:r>
        <w:rPr>
          <w:rFonts w:hint="default" w:ascii="Tahoma" w:hAnsi="Tahoma" w:eastAsia="Tahoma" w:cs="Tahoma"/>
          <w:i w:val="0"/>
          <w:iCs w:val="0"/>
          <w:caps w:val="0"/>
          <w:color w:val="000000"/>
          <w:spacing w:val="0"/>
          <w:kern w:val="0"/>
          <w:sz w:val="18"/>
          <w:szCs w:val="18"/>
          <w:u w:val="single"/>
          <w:lang w:val="en-US" w:eastAsia="zh-CN" w:bidi="ar"/>
        </w:rPr>
        <w:t>2024-12-23 15:00:00</w:t>
      </w:r>
      <w:r>
        <w:rPr>
          <w:rFonts w:hint="default" w:ascii="Tahoma" w:hAnsi="Tahoma" w:eastAsia="Tahoma" w:cs="Tahoma"/>
          <w:i w:val="0"/>
          <w:iCs w:val="0"/>
          <w:caps w:val="0"/>
          <w:color w:val="000000"/>
          <w:spacing w:val="0"/>
          <w:kern w:val="0"/>
          <w:sz w:val="18"/>
          <w:szCs w:val="18"/>
          <w:lang w:val="en-US" w:eastAsia="zh-CN" w:bidi="ar"/>
        </w:rPr>
        <w:t>（北京时间）前递交投标文件。</w:t>
      </w:r>
    </w:p>
    <w:p w14:paraId="139BA81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一、项目基本情况</w:t>
      </w:r>
    </w:p>
    <w:p w14:paraId="2E06933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项目编号：182001JH6212037</w:t>
      </w:r>
    </w:p>
    <w:p w14:paraId="34B945A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项目名称：陇南市住房公积金管理中心核心业务系统升级建设项目</w:t>
      </w:r>
    </w:p>
    <w:p w14:paraId="3E4565E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预算金额：200.000000(万元)</w:t>
      </w:r>
    </w:p>
    <w:p w14:paraId="501F002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最高限价：183.19(万元)</w:t>
      </w:r>
    </w:p>
    <w:p w14:paraId="3AF647A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采购需求：陇南市住房公积金管理中心核心业务系统升级建设项目，具体内容，详见文件。</w:t>
      </w:r>
    </w:p>
    <w:p w14:paraId="3E5F0E7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合同履行期限：按合同约定执行</w:t>
      </w:r>
    </w:p>
    <w:p w14:paraId="5BFF324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本项目（是/否）接受联合体投标：否</w:t>
      </w:r>
    </w:p>
    <w:p w14:paraId="67524D4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二、申请人的资格要求</w:t>
      </w:r>
    </w:p>
    <w:p w14:paraId="0300D9A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1.（1）、必须符合《中华人民共和国政府采购法》第二十二条之规定，并提供《中华人民共和国政府采购法实施条例》第十七条所要求的材料。 （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以招标公告发布之日起至投标截止时间前在“信用中国”网站[www.creditchina.gov.cn]、中国政府采购网[www.ccgp.gov.cn]查询结果为准，如相关失信记录已失效，投标人需提供相关证明资料）。 （3）、本项目不接受联合体投标。</w:t>
      </w:r>
    </w:p>
    <w:p w14:paraId="4055BA6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落实政府采购政策需满足的资格要求：《政府采购促进中小企业发展管理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14:paraId="4E6CDF6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3.本项目的特定资格要求：无</w:t>
      </w:r>
    </w:p>
    <w:p w14:paraId="5CD8452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三、获取招标文件</w:t>
      </w:r>
    </w:p>
    <w:p w14:paraId="21D4D73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w:t>
      </w:r>
      <w:r>
        <w:rPr>
          <w:rFonts w:hint="default" w:ascii="Tahoma" w:hAnsi="Tahoma" w:eastAsia="Tahoma" w:cs="Tahoma"/>
          <w:i w:val="0"/>
          <w:iCs w:val="0"/>
          <w:caps w:val="0"/>
          <w:color w:val="000000"/>
          <w:spacing w:val="0"/>
          <w:kern w:val="0"/>
          <w:sz w:val="18"/>
          <w:szCs w:val="18"/>
          <w:u w:val="single"/>
          <w:lang w:val="en-US" w:eastAsia="zh-CN" w:bidi="ar"/>
        </w:rPr>
        <w:t>2024-12-02</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2024-12-06</w:t>
      </w:r>
      <w:r>
        <w:rPr>
          <w:rFonts w:hint="default" w:ascii="Tahoma" w:hAnsi="Tahoma" w:eastAsia="Tahoma" w:cs="Tahoma"/>
          <w:i w:val="0"/>
          <w:iCs w:val="0"/>
          <w:caps w:val="0"/>
          <w:color w:val="000000"/>
          <w:spacing w:val="0"/>
          <w:kern w:val="0"/>
          <w:sz w:val="18"/>
          <w:szCs w:val="18"/>
          <w:lang w:val="en-US" w:eastAsia="zh-CN" w:bidi="ar"/>
        </w:rPr>
        <w:t>，每天上午</w:t>
      </w:r>
      <w:r>
        <w:rPr>
          <w:rFonts w:hint="default" w:ascii="Tahoma" w:hAnsi="Tahoma" w:eastAsia="Tahoma" w:cs="Tahoma"/>
          <w:i w:val="0"/>
          <w:iCs w:val="0"/>
          <w:caps w:val="0"/>
          <w:color w:val="000000"/>
          <w:spacing w:val="0"/>
          <w:kern w:val="0"/>
          <w:sz w:val="18"/>
          <w:szCs w:val="18"/>
          <w:u w:val="single"/>
          <w:lang w:val="en-US" w:eastAsia="zh-CN" w:bidi="ar"/>
        </w:rPr>
        <w:t>8:30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12:00</w:t>
      </w:r>
      <w:r>
        <w:rPr>
          <w:rFonts w:hint="default" w:ascii="Tahoma" w:hAnsi="Tahoma" w:eastAsia="Tahoma" w:cs="Tahoma"/>
          <w:i w:val="0"/>
          <w:iCs w:val="0"/>
          <w:caps w:val="0"/>
          <w:color w:val="000000"/>
          <w:spacing w:val="0"/>
          <w:kern w:val="0"/>
          <w:sz w:val="18"/>
          <w:szCs w:val="18"/>
          <w:lang w:val="en-US" w:eastAsia="zh-CN" w:bidi="ar"/>
        </w:rPr>
        <w:t>，下午</w:t>
      </w:r>
      <w:r>
        <w:rPr>
          <w:rFonts w:hint="default" w:ascii="Tahoma" w:hAnsi="Tahoma" w:eastAsia="Tahoma" w:cs="Tahoma"/>
          <w:i w:val="0"/>
          <w:iCs w:val="0"/>
          <w:caps w:val="0"/>
          <w:color w:val="000000"/>
          <w:spacing w:val="0"/>
          <w:kern w:val="0"/>
          <w:sz w:val="18"/>
          <w:szCs w:val="18"/>
          <w:u w:val="single"/>
          <w:lang w:val="en-US" w:eastAsia="zh-CN" w:bidi="ar"/>
        </w:rPr>
        <w:t>12:00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17:30</w:t>
      </w:r>
    </w:p>
    <w:p w14:paraId="640C6BF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地点：陇南市公共资源交易网（http://60.164.200.102/）免费下载</w:t>
      </w:r>
    </w:p>
    <w:p w14:paraId="7050557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方式：1.社会公众可通过陇南市公共资源交易网免费下载或查阅招标文件，拟参与本项目的潜在投标人在获取期限内，凭CA数字证书或通过“用户名+密码”方式登录陇南市公共资源交易网（登录网址http://60.164.200.102/TPBidder/memberLogin）在线免费下载获取招标文件，并点击“我要投标”按要求填写信息，未填写信息的投标无效。2.请潜在投标人随时关注陇南市公共资源交易网及甘肃政府采购网本项目相关变更公告及澄清答疑文件，否则由变更引起的相关责任自负。</w:t>
      </w:r>
    </w:p>
    <w:p w14:paraId="2D76381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售价：0(元)</w:t>
      </w:r>
    </w:p>
    <w:p w14:paraId="0AAA8755">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四、提交投标文件截止时间、开标时间和地点</w:t>
      </w:r>
    </w:p>
    <w:p w14:paraId="5F99332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时间：2024-12-23 15:00:00</w:t>
      </w:r>
    </w:p>
    <w:p w14:paraId="461839F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地点：陇南市公共资源交易中心网络开标直播二厅第1坐席（陇南市行政中心5号楼环保大厦）</w:t>
      </w:r>
    </w:p>
    <w:p w14:paraId="3DB147C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五、公告期限</w:t>
      </w:r>
    </w:p>
    <w:p w14:paraId="47C0309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自本公告发布之日起5个工作日。</w:t>
      </w:r>
    </w:p>
    <w:p w14:paraId="5741DD0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六、其他补充事宜</w:t>
      </w:r>
    </w:p>
    <w:p w14:paraId="0E6182E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该项目开标评标活动通过“陇南市（新点）网上开评标系统”进行：①投标人应当在投标文件递交截止时间（开标时间）前，在陇南市公共资源交易网首页“下载中心”，下载并安装投标文件制作工具“新点投标文件制作软件（陇南版）”，按照“服务指南”-“全流程电子化交易投标人操作手册”制作固化投标文件，并凭CA数字证书登录陇南市公共资源交易网上传投标文件，本项目全流程必须使用同一把CA数字证书进行操作；若在投标文件递交截止时间（开标时间）前没有网上投标（上传投标文件）则视为放弃投标。② 投标人须按时凭CA数字证书登录陇南市公共资源交易网-新点不见面开标大厅参与网上开标。</w:t>
      </w:r>
    </w:p>
    <w:p w14:paraId="7492A9E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①陇南市公共资源交易网：http://60.164.200.102/</w:t>
      </w:r>
    </w:p>
    <w:p w14:paraId="33D93B7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②信用中国”网站：https://www.creditchina.gov.cn</w:t>
      </w:r>
    </w:p>
    <w:p w14:paraId="45C569D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③中国政府采购网网址：http://www.ccgp.gov.cn/</w:t>
      </w:r>
    </w:p>
    <w:p w14:paraId="7164049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七、对本次招标提出询问，请按以下方式联系</w:t>
      </w:r>
    </w:p>
    <w:p w14:paraId="459C714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1.采购人信息</w:t>
      </w:r>
    </w:p>
    <w:p w14:paraId="25FB22D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陇南市住房公积金管理中心</w:t>
      </w:r>
    </w:p>
    <w:p w14:paraId="18FBFBE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甘肃省武都区东江新区人社大厦15楼</w:t>
      </w:r>
    </w:p>
    <w:p w14:paraId="7BC4C85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0939-5919099</w:t>
      </w:r>
    </w:p>
    <w:p w14:paraId="36021BB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2.采购代理机构信息</w:t>
      </w:r>
    </w:p>
    <w:p w14:paraId="3D4E33D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陇南市公共资源交易中心</w:t>
      </w:r>
    </w:p>
    <w:p w14:paraId="025360A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陇南市东江新区统办5号楼二楼</w:t>
      </w:r>
    </w:p>
    <w:p w14:paraId="33DF786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0939-8460432</w:t>
      </w:r>
    </w:p>
    <w:p w14:paraId="5D6CD36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3.项目联系方式</w:t>
      </w:r>
    </w:p>
    <w:p w14:paraId="31430A4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项目联系人：</w:t>
      </w:r>
      <w:r>
        <w:rPr>
          <w:rFonts w:hint="default" w:ascii="Tahoma" w:hAnsi="Tahoma" w:eastAsia="Tahoma" w:cs="Tahoma"/>
          <w:i w:val="0"/>
          <w:iCs w:val="0"/>
          <w:caps w:val="0"/>
          <w:color w:val="000000"/>
          <w:spacing w:val="0"/>
          <w:kern w:val="0"/>
          <w:sz w:val="18"/>
          <w:szCs w:val="18"/>
          <w:u w:val="single"/>
          <w:lang w:val="en-US" w:eastAsia="zh-CN" w:bidi="ar"/>
        </w:rPr>
        <w:t>党辉</w:t>
      </w:r>
    </w:p>
    <w:p w14:paraId="3BC13F3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电　话：</w:t>
      </w:r>
      <w:r>
        <w:rPr>
          <w:rFonts w:hint="default" w:ascii="Tahoma" w:hAnsi="Tahoma" w:eastAsia="Tahoma" w:cs="Tahoma"/>
          <w:i w:val="0"/>
          <w:iCs w:val="0"/>
          <w:caps w:val="0"/>
          <w:color w:val="000000"/>
          <w:spacing w:val="0"/>
          <w:kern w:val="0"/>
          <w:sz w:val="18"/>
          <w:szCs w:val="18"/>
          <w:u w:val="single"/>
          <w:lang w:val="en-US" w:eastAsia="zh-CN" w:bidi="ar"/>
        </w:rPr>
        <w:t>0939-5919099</w:t>
      </w:r>
    </w:p>
    <w:p w14:paraId="6F6E4EEC">
      <w:pPr>
        <w:widowControl/>
        <w:spacing w:before="75" w:after="75"/>
        <w:ind w:firstLine="420"/>
        <w:jc w:val="left"/>
        <w:rPr>
          <w:rFonts w:hint="default" w:eastAsia="宋体"/>
          <w:lang w:val="en-US" w:eastAsia="zh-CN"/>
        </w:rPr>
      </w:pPr>
      <w:r>
        <w:rPr>
          <w:rFonts w:hint="eastAsia"/>
          <w:lang w:val="en-US" w:eastAsia="zh-CN"/>
        </w:rPr>
        <w:t xml:space="preserve">                                       2024年11月29日</w:t>
      </w:r>
      <w:bookmarkStart w:id="118" w:name="_GoBack"/>
      <w:bookmarkEnd w:id="118"/>
    </w:p>
    <w:p w14:paraId="72C9E535">
      <w:pPr>
        <w:pStyle w:val="44"/>
        <w:ind w:firstLine="31680"/>
      </w:pPr>
      <w:r>
        <w:t xml:space="preserve">     </w:t>
      </w:r>
    </w:p>
    <w:p w14:paraId="3A4ADF9F">
      <w:pPr>
        <w:pStyle w:val="44"/>
        <w:ind w:firstLine="31680"/>
      </w:pPr>
    </w:p>
    <w:p w14:paraId="0FC63AE5">
      <w:pPr>
        <w:pageBreakBefore/>
        <w:numPr>
          <w:ilvl w:val="0"/>
          <w:numId w:val="2"/>
        </w:numPr>
        <w:spacing w:line="360" w:lineRule="auto"/>
        <w:ind w:left="0" w:leftChars="0" w:firstLine="0" w:firstLineChars="0"/>
        <w:jc w:val="center"/>
        <w:outlineLvl w:val="0"/>
        <w:rPr>
          <w:rFonts w:hint="eastAsia" w:ascii="宋体" w:hAnsi="宋体" w:cs="宋体"/>
          <w:b/>
          <w:bCs/>
          <w:kern w:val="0"/>
          <w:sz w:val="40"/>
          <w:szCs w:val="40"/>
        </w:rPr>
      </w:pPr>
      <w:bookmarkStart w:id="8" w:name="_Toc20397"/>
      <w:bookmarkStart w:id="9" w:name="_Toc18892"/>
      <w:bookmarkStart w:id="10" w:name="_Toc15817"/>
      <w:bookmarkStart w:id="11" w:name="_Toc5870"/>
      <w:r>
        <w:rPr>
          <w:rFonts w:ascii="宋体" w:hAnsi="宋体" w:cs="宋体"/>
          <w:b/>
          <w:bCs/>
          <w:kern w:val="0"/>
          <w:sz w:val="40"/>
          <w:szCs w:val="40"/>
        </w:rPr>
        <w:t xml:space="preserve"> </w:t>
      </w:r>
      <w:r>
        <w:rPr>
          <w:rFonts w:hint="eastAsia" w:ascii="宋体" w:hAnsi="宋体" w:cs="宋体"/>
          <w:b/>
          <w:bCs/>
          <w:kern w:val="0"/>
          <w:sz w:val="40"/>
          <w:szCs w:val="40"/>
        </w:rPr>
        <w:t>供应商须知及前附表</w:t>
      </w:r>
      <w:bookmarkEnd w:id="7"/>
      <w:bookmarkEnd w:id="8"/>
      <w:bookmarkEnd w:id="9"/>
      <w:bookmarkEnd w:id="10"/>
      <w:bookmarkEnd w:id="11"/>
    </w:p>
    <w:p w14:paraId="46F49BB8">
      <w:pPr>
        <w:pStyle w:val="35"/>
        <w:jc w:val="center"/>
        <w:outlineLvl w:val="1"/>
        <w:rPr>
          <w:rFonts w:hint="eastAsia" w:ascii="宋体" w:hAnsi="宋体" w:eastAsia="宋体" w:cs="宋体"/>
          <w:b/>
          <w:bCs/>
          <w:smallCaps w:val="0"/>
          <w:kern w:val="0"/>
          <w:sz w:val="32"/>
          <w:szCs w:val="32"/>
          <w:lang w:val="en-US" w:eastAsia="zh-CN" w:bidi="ar-SA"/>
        </w:rPr>
      </w:pPr>
      <w:r>
        <w:rPr>
          <w:rFonts w:hint="eastAsia" w:ascii="宋体" w:hAnsi="宋体" w:eastAsia="宋体" w:cs="宋体"/>
          <w:b/>
          <w:bCs/>
          <w:smallCaps w:val="0"/>
          <w:kern w:val="0"/>
          <w:sz w:val="32"/>
          <w:szCs w:val="32"/>
          <w:lang w:val="en-US" w:eastAsia="zh-CN" w:bidi="ar-SA"/>
        </w:rPr>
        <w:t>第一节供应商须知前附表</w:t>
      </w:r>
    </w:p>
    <w:tbl>
      <w:tblPr>
        <w:tblStyle w:val="46"/>
        <w:tblW w:w="975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1591"/>
        <w:gridCol w:w="7154"/>
      </w:tblGrid>
      <w:tr w14:paraId="2B2FD2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0" w:hRule="exact"/>
          <w:tblHeader/>
          <w:jc w:val="center"/>
        </w:trPr>
        <w:tc>
          <w:tcPr>
            <w:tcW w:w="1012" w:type="dxa"/>
            <w:tcBorders>
              <w:top w:val="single" w:color="auto" w:sz="18" w:space="0"/>
            </w:tcBorders>
            <w:vAlign w:val="center"/>
          </w:tcPr>
          <w:p w14:paraId="5511650F">
            <w:pPr>
              <w:pStyle w:val="110"/>
              <w:ind w:left="9"/>
              <w:jc w:val="center"/>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序号</w:t>
            </w:r>
          </w:p>
        </w:tc>
        <w:tc>
          <w:tcPr>
            <w:tcW w:w="1591" w:type="dxa"/>
            <w:tcBorders>
              <w:top w:val="single" w:color="auto" w:sz="18" w:space="0"/>
            </w:tcBorders>
            <w:vAlign w:val="center"/>
          </w:tcPr>
          <w:p w14:paraId="077D5789">
            <w:pPr>
              <w:pStyle w:val="110"/>
              <w:ind w:left="38"/>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条款名称</w:t>
            </w:r>
          </w:p>
        </w:tc>
        <w:tc>
          <w:tcPr>
            <w:tcW w:w="7154" w:type="dxa"/>
            <w:tcBorders>
              <w:top w:val="single" w:color="auto" w:sz="18" w:space="0"/>
            </w:tcBorders>
            <w:vAlign w:val="center"/>
          </w:tcPr>
          <w:p w14:paraId="16A60C88">
            <w:pPr>
              <w:pStyle w:val="110"/>
              <w:jc w:val="center"/>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说明和要求</w:t>
            </w:r>
          </w:p>
        </w:tc>
      </w:tr>
      <w:tr w14:paraId="48377E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0" w:hRule="atLeast"/>
          <w:jc w:val="center"/>
        </w:trPr>
        <w:tc>
          <w:tcPr>
            <w:tcW w:w="1012" w:type="dxa"/>
            <w:vAlign w:val="center"/>
          </w:tcPr>
          <w:p w14:paraId="7524246E">
            <w:pPr>
              <w:pStyle w:val="110"/>
              <w:ind w:right="230"/>
              <w:jc w:val="center"/>
              <w:rPr>
                <w:rFonts w:ascii="仿宋_GB2312" w:hAnsi="仿宋_GB2312" w:eastAsia="仿宋_GB2312" w:cs="仿宋_GB2312"/>
                <w:sz w:val="21"/>
                <w:szCs w:val="21"/>
                <w:lang w:val="zh-CN" w:eastAsia="zh-CN"/>
              </w:rPr>
            </w:pPr>
            <w:r>
              <w:rPr>
                <w:rFonts w:ascii="仿宋_GB2312" w:hAnsi="仿宋_GB2312" w:eastAsia="仿宋_GB2312" w:cs="仿宋_GB2312"/>
                <w:sz w:val="21"/>
                <w:szCs w:val="21"/>
                <w:lang w:val="zh-CN" w:eastAsia="zh-CN"/>
              </w:rPr>
              <w:t>1</w:t>
            </w:r>
          </w:p>
        </w:tc>
        <w:tc>
          <w:tcPr>
            <w:tcW w:w="1591" w:type="dxa"/>
            <w:vAlign w:val="center"/>
          </w:tcPr>
          <w:p w14:paraId="5B4E3307">
            <w:pPr>
              <w:pStyle w:val="110"/>
              <w:ind w:left="38"/>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项目名称</w:t>
            </w:r>
          </w:p>
        </w:tc>
        <w:tc>
          <w:tcPr>
            <w:tcW w:w="7154" w:type="dxa"/>
            <w:vAlign w:val="center"/>
          </w:tcPr>
          <w:p w14:paraId="6C5C4984">
            <w:pPr>
              <w:spacing w:line="360" w:lineRule="auto"/>
              <w:rPr>
                <w:rFonts w:hint="eastAsia" w:ascii="仿宋_GB2312" w:hAnsi="仿宋_GB2312" w:eastAsia="仿宋_GB2312"/>
                <w:lang w:val="en-US" w:eastAsia="zh-CN"/>
              </w:rPr>
            </w:pPr>
            <w:r>
              <w:rPr>
                <w:rFonts w:hint="eastAsia" w:ascii="仿宋_GB2312" w:hAnsi="仿宋_GB2312" w:eastAsia="仿宋_GB2312"/>
                <w:lang w:val="en-US" w:eastAsia="zh-CN"/>
              </w:rPr>
              <w:t xml:space="preserve"> 陇南市住房公积金管理中心核心业务系统升级建设项目</w:t>
            </w:r>
          </w:p>
        </w:tc>
      </w:tr>
      <w:tr w14:paraId="1FD87C0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0" w:hRule="atLeast"/>
          <w:jc w:val="center"/>
        </w:trPr>
        <w:tc>
          <w:tcPr>
            <w:tcW w:w="1012" w:type="dxa"/>
            <w:vAlign w:val="center"/>
          </w:tcPr>
          <w:p w14:paraId="38CC9236">
            <w:pPr>
              <w:pStyle w:val="110"/>
              <w:ind w:right="230"/>
              <w:jc w:val="center"/>
              <w:rPr>
                <w:rFonts w:ascii="仿宋_GB2312" w:hAnsi="仿宋_GB2312" w:eastAsia="仿宋_GB2312" w:cs="仿宋_GB2312"/>
                <w:sz w:val="21"/>
                <w:szCs w:val="21"/>
                <w:lang w:val="zh-CN" w:eastAsia="zh-CN"/>
              </w:rPr>
            </w:pPr>
            <w:r>
              <w:rPr>
                <w:rFonts w:ascii="仿宋_GB2312" w:hAnsi="仿宋_GB2312" w:eastAsia="仿宋_GB2312" w:cs="仿宋_GB2312"/>
                <w:sz w:val="21"/>
                <w:szCs w:val="21"/>
                <w:lang w:val="zh-CN" w:eastAsia="zh-CN"/>
              </w:rPr>
              <w:t>2</w:t>
            </w:r>
          </w:p>
        </w:tc>
        <w:tc>
          <w:tcPr>
            <w:tcW w:w="1591" w:type="dxa"/>
            <w:vAlign w:val="center"/>
          </w:tcPr>
          <w:p w14:paraId="5CB0C95C">
            <w:pPr>
              <w:pStyle w:val="110"/>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采购人</w:t>
            </w:r>
          </w:p>
        </w:tc>
        <w:tc>
          <w:tcPr>
            <w:tcW w:w="7154" w:type="dxa"/>
            <w:vAlign w:val="center"/>
          </w:tcPr>
          <w:p w14:paraId="58A67DF6">
            <w:pPr>
              <w:pStyle w:val="110"/>
              <w:jc w:val="left"/>
              <w:rPr>
                <w:rFonts w:hint="default" w:ascii="仿宋_GB2312" w:hAnsi="仿宋_GB2312" w:eastAsia="仿宋_GB2312" w:cs="Times New Roman"/>
                <w:sz w:val="21"/>
                <w:szCs w:val="21"/>
                <w:lang w:val="en-US" w:eastAsia="zh-CN"/>
              </w:rPr>
            </w:pPr>
            <w:r>
              <w:rPr>
                <w:rFonts w:hint="default" w:ascii="仿宋_GB2312" w:hAnsi="仿宋_GB2312" w:eastAsia="仿宋_GB2312" w:cs="Times New Roman"/>
                <w:sz w:val="21"/>
                <w:szCs w:val="21"/>
                <w:lang w:val="en-US" w:eastAsia="zh-CN"/>
              </w:rPr>
              <w:t>采购人名称：陇南市住房公积金管理中心</w:t>
            </w:r>
          </w:p>
          <w:p w14:paraId="17E0D89E">
            <w:pPr>
              <w:pStyle w:val="110"/>
              <w:jc w:val="left"/>
              <w:rPr>
                <w:rFonts w:hint="default" w:ascii="仿宋_GB2312" w:hAnsi="仿宋_GB2312" w:eastAsia="仿宋_GB2312" w:cs="Times New Roman"/>
                <w:sz w:val="21"/>
                <w:szCs w:val="21"/>
                <w:lang w:val="en-US" w:eastAsia="zh-CN"/>
              </w:rPr>
            </w:pPr>
            <w:r>
              <w:rPr>
                <w:rFonts w:hint="default" w:ascii="仿宋_GB2312" w:hAnsi="仿宋_GB2312" w:eastAsia="仿宋_GB2312" w:cs="Times New Roman"/>
                <w:sz w:val="21"/>
                <w:szCs w:val="21"/>
                <w:lang w:val="en-US" w:eastAsia="zh-CN"/>
              </w:rPr>
              <w:t>联系人：党辉</w:t>
            </w:r>
          </w:p>
          <w:p w14:paraId="4887DC8F">
            <w:pPr>
              <w:pStyle w:val="110"/>
              <w:jc w:val="left"/>
              <w:rPr>
                <w:rFonts w:hint="default" w:ascii="仿宋_GB2312" w:hAnsi="仿宋_GB2312" w:eastAsia="仿宋_GB2312" w:cs="Times New Roman"/>
                <w:sz w:val="21"/>
                <w:szCs w:val="21"/>
                <w:lang w:val="en-US" w:eastAsia="zh-CN"/>
              </w:rPr>
            </w:pPr>
            <w:r>
              <w:rPr>
                <w:rFonts w:hint="default" w:ascii="仿宋_GB2312" w:hAnsi="仿宋_GB2312" w:eastAsia="仿宋_GB2312" w:cs="Times New Roman"/>
                <w:sz w:val="21"/>
                <w:szCs w:val="21"/>
                <w:lang w:val="en-US" w:eastAsia="zh-CN"/>
              </w:rPr>
              <w:t>联系电话：13830935633</w:t>
            </w:r>
          </w:p>
          <w:p w14:paraId="6F6646F7">
            <w:pPr>
              <w:pStyle w:val="110"/>
              <w:jc w:val="left"/>
              <w:rPr>
                <w:rFonts w:ascii="仿宋_GB2312" w:hAnsi="仿宋_GB2312" w:eastAsia="仿宋_GB2312" w:cs="Times New Roman"/>
                <w:sz w:val="21"/>
                <w:szCs w:val="21"/>
                <w:lang w:eastAsia="zh-CN"/>
              </w:rPr>
            </w:pPr>
            <w:r>
              <w:rPr>
                <w:rFonts w:hint="default" w:ascii="仿宋_GB2312" w:hAnsi="仿宋_GB2312" w:eastAsia="仿宋_GB2312" w:cs="Times New Roman"/>
                <w:sz w:val="21"/>
                <w:szCs w:val="21"/>
                <w:lang w:val="en-US" w:eastAsia="zh-CN"/>
              </w:rPr>
              <w:t>地址：陇南市武都区东江镇人社大厦15楼</w:t>
            </w:r>
          </w:p>
        </w:tc>
      </w:tr>
      <w:tr w14:paraId="1F85CC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99" w:hRule="atLeast"/>
          <w:jc w:val="center"/>
        </w:trPr>
        <w:tc>
          <w:tcPr>
            <w:tcW w:w="1012" w:type="dxa"/>
            <w:tcBorders>
              <w:bottom w:val="single" w:color="auto" w:sz="4" w:space="0"/>
            </w:tcBorders>
            <w:vAlign w:val="center"/>
          </w:tcPr>
          <w:p w14:paraId="173E1DF4">
            <w:pPr>
              <w:pStyle w:val="110"/>
              <w:ind w:right="230"/>
              <w:jc w:val="center"/>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val="zh-CN"/>
              </w:rPr>
              <w:t>3</w:t>
            </w:r>
          </w:p>
        </w:tc>
        <w:tc>
          <w:tcPr>
            <w:tcW w:w="1591" w:type="dxa"/>
            <w:tcBorders>
              <w:bottom w:val="single" w:color="auto" w:sz="4" w:space="0"/>
            </w:tcBorders>
            <w:vAlign w:val="center"/>
          </w:tcPr>
          <w:p w14:paraId="49E7B3A7">
            <w:pPr>
              <w:pStyle w:val="110"/>
              <w:ind w:left="38"/>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采购代理机构</w:t>
            </w:r>
          </w:p>
        </w:tc>
        <w:tc>
          <w:tcPr>
            <w:tcW w:w="7154" w:type="dxa"/>
            <w:tcBorders>
              <w:bottom w:val="single" w:color="auto" w:sz="4" w:space="0"/>
            </w:tcBorders>
            <w:vAlign w:val="center"/>
          </w:tcPr>
          <w:p w14:paraId="41AF6BC8">
            <w:pPr>
              <w:pStyle w:val="110"/>
              <w:ind w:left="38"/>
              <w:jc w:val="left"/>
              <w:outlineLvl w:val="9"/>
              <w:rPr>
                <w:rFonts w:hint="eastAsia" w:ascii="仿宋_GB2312" w:hAnsi="仿宋_GB2312" w:eastAsia="仿宋_GB2312" w:cs="Times New Roman"/>
                <w:sz w:val="21"/>
                <w:szCs w:val="21"/>
                <w:lang w:eastAsia="zh-CN"/>
              </w:rPr>
            </w:pPr>
            <w:bookmarkStart w:id="12" w:name="Agency__AgencyName__2"/>
            <w:bookmarkEnd w:id="12"/>
            <w:r>
              <w:rPr>
                <w:rFonts w:hint="eastAsia" w:ascii="仿宋_GB2312" w:hAnsi="仿宋_GB2312" w:eastAsia="仿宋_GB2312" w:cs="Times New Roman"/>
                <w:sz w:val="21"/>
                <w:szCs w:val="21"/>
                <w:lang w:eastAsia="zh-CN"/>
              </w:rPr>
              <w:t xml:space="preserve">集采机构：陇南市公共资源交易中心 </w:t>
            </w:r>
          </w:p>
          <w:p w14:paraId="47BF9943">
            <w:pPr>
              <w:pStyle w:val="110"/>
              <w:ind w:left="38"/>
              <w:jc w:val="left"/>
              <w:outlineLvl w:val="9"/>
              <w:rPr>
                <w:rFonts w:hint="eastAsia"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联系人：焦陇东</w:t>
            </w:r>
          </w:p>
          <w:p w14:paraId="5051F61F">
            <w:pPr>
              <w:pStyle w:val="110"/>
              <w:ind w:left="38"/>
              <w:jc w:val="left"/>
              <w:outlineLvl w:val="9"/>
              <w:rPr>
                <w:rFonts w:hint="eastAsia"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联系电话：0939-8460432</w:t>
            </w:r>
          </w:p>
          <w:p w14:paraId="5B2BC856">
            <w:pPr>
              <w:pStyle w:val="110"/>
              <w:ind w:left="38"/>
              <w:jc w:val="left"/>
              <w:rPr>
                <w:rFonts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地址：陇南市行政中心5号楼（环保大厦）3楼3</w:t>
            </w:r>
            <w:r>
              <w:rPr>
                <w:rFonts w:hint="eastAsia" w:ascii="仿宋_GB2312" w:hAnsi="仿宋_GB2312" w:eastAsia="仿宋_GB2312" w:cs="Times New Roman"/>
                <w:sz w:val="21"/>
                <w:szCs w:val="21"/>
                <w:lang w:val="en-US" w:eastAsia="zh-CN"/>
              </w:rPr>
              <w:t>16</w:t>
            </w:r>
            <w:r>
              <w:rPr>
                <w:rFonts w:hint="eastAsia" w:ascii="仿宋_GB2312" w:hAnsi="仿宋_GB2312" w:eastAsia="仿宋_GB2312" w:cs="Times New Roman"/>
                <w:sz w:val="21"/>
                <w:szCs w:val="21"/>
                <w:lang w:eastAsia="zh-CN"/>
              </w:rPr>
              <w:t>室</w:t>
            </w:r>
          </w:p>
        </w:tc>
      </w:tr>
      <w:tr w14:paraId="0ADF8D3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7" w:hRule="atLeast"/>
          <w:jc w:val="center"/>
        </w:trPr>
        <w:tc>
          <w:tcPr>
            <w:tcW w:w="1012" w:type="dxa"/>
            <w:tcBorders>
              <w:top w:val="single" w:color="auto" w:sz="4" w:space="0"/>
              <w:bottom w:val="single" w:color="auto" w:sz="4" w:space="0"/>
            </w:tcBorders>
            <w:vAlign w:val="center"/>
          </w:tcPr>
          <w:p w14:paraId="6B1B9CFE">
            <w:pPr>
              <w:pStyle w:val="110"/>
              <w:ind w:right="230"/>
              <w:jc w:val="center"/>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4</w:t>
            </w:r>
          </w:p>
        </w:tc>
        <w:tc>
          <w:tcPr>
            <w:tcW w:w="1591" w:type="dxa"/>
            <w:tcBorders>
              <w:top w:val="single" w:color="auto" w:sz="4" w:space="0"/>
              <w:bottom w:val="single" w:color="auto" w:sz="4" w:space="0"/>
            </w:tcBorders>
            <w:vAlign w:val="center"/>
          </w:tcPr>
          <w:p w14:paraId="12F186E9">
            <w:pPr>
              <w:pStyle w:val="110"/>
              <w:ind w:left="38"/>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监督管理机构</w:t>
            </w:r>
          </w:p>
        </w:tc>
        <w:tc>
          <w:tcPr>
            <w:tcW w:w="7154" w:type="dxa"/>
            <w:tcBorders>
              <w:top w:val="single" w:color="auto" w:sz="4" w:space="0"/>
              <w:bottom w:val="single" w:color="auto" w:sz="4" w:space="0"/>
            </w:tcBorders>
            <w:vAlign w:val="center"/>
          </w:tcPr>
          <w:p w14:paraId="37A6FB2E">
            <w:pPr>
              <w:pStyle w:val="127"/>
              <w:spacing w:before="0" w:beforeAutospacing="0" w:after="0" w:afterAutospacing="0" w:line="360" w:lineRule="auto"/>
              <w:rPr>
                <w:rFonts w:ascii="仿宋_GB2312" w:hAnsi="仿宋_GB2312" w:eastAsia="仿宋_GB2312" w:cs="Times New Roman"/>
              </w:rPr>
            </w:pPr>
            <w:r>
              <w:rPr>
                <w:rFonts w:hint="eastAsia" w:ascii="仿宋_GB2312" w:hAnsi="仿宋_GB2312" w:eastAsia="仿宋_GB2312" w:cs="仿宋_GB2312"/>
              </w:rPr>
              <w:t>陇南市财政局政府采购监督管理科</w:t>
            </w:r>
          </w:p>
          <w:p w14:paraId="6BA57FB4">
            <w:pPr>
              <w:pStyle w:val="127"/>
              <w:spacing w:before="0" w:beforeAutospacing="0" w:after="0" w:afterAutospacing="0" w:line="360" w:lineRule="auto"/>
              <w:rPr>
                <w:rFonts w:ascii="仿宋_GB2312" w:hAnsi="仿宋_GB2312" w:eastAsia="仿宋_GB2312" w:cs="仿宋_GB2312"/>
              </w:rPr>
            </w:pPr>
            <w:r>
              <w:rPr>
                <w:rFonts w:hint="eastAsia" w:ascii="仿宋_GB2312" w:hAnsi="仿宋_GB2312" w:eastAsia="仿宋_GB2312" w:cs="仿宋_GB2312"/>
                <w:lang w:val="zh-CN"/>
              </w:rPr>
              <w:t>联系电话：</w:t>
            </w:r>
            <w:r>
              <w:rPr>
                <w:rFonts w:ascii="仿宋_GB2312" w:hAnsi="仿宋_GB2312" w:eastAsia="仿宋_GB2312" w:cs="仿宋_GB2312"/>
                <w:lang w:val="zh-CN"/>
              </w:rPr>
              <w:t>0939-</w:t>
            </w:r>
            <w:r>
              <w:rPr>
                <w:rFonts w:ascii="仿宋_GB2312" w:hAnsi="仿宋_GB2312" w:eastAsia="仿宋_GB2312" w:cs="仿宋_GB2312"/>
              </w:rPr>
              <w:t>8235552</w:t>
            </w:r>
          </w:p>
          <w:p w14:paraId="532844E3">
            <w:pPr>
              <w:pStyle w:val="127"/>
              <w:spacing w:before="0" w:beforeAutospacing="0" w:after="0" w:afterAutospacing="0" w:line="360" w:lineRule="auto"/>
              <w:rPr>
                <w:rFonts w:ascii="仿宋_GB2312" w:hAnsi="仿宋_GB2312" w:eastAsia="仿宋_GB2312" w:cs="Times New Roman"/>
              </w:rPr>
            </w:pPr>
            <w:r>
              <w:rPr>
                <w:rFonts w:hint="eastAsia" w:ascii="仿宋_GB2312" w:hAnsi="仿宋_GB2312" w:eastAsia="仿宋_GB2312" w:cs="仿宋_GB2312"/>
              </w:rPr>
              <w:t>地址：陇南市行政中心财政大厦</w:t>
            </w:r>
            <w:r>
              <w:rPr>
                <w:rFonts w:ascii="仿宋_GB2312" w:hAnsi="仿宋_GB2312" w:eastAsia="仿宋_GB2312" w:cs="仿宋_GB2312"/>
              </w:rPr>
              <w:t>702</w:t>
            </w:r>
            <w:r>
              <w:rPr>
                <w:rFonts w:hint="eastAsia" w:ascii="仿宋_GB2312" w:hAnsi="仿宋_GB2312" w:eastAsia="仿宋_GB2312" w:cs="仿宋_GB2312"/>
              </w:rPr>
              <w:t>室</w:t>
            </w:r>
          </w:p>
        </w:tc>
      </w:tr>
      <w:tr w14:paraId="0F86883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99" w:hRule="atLeast"/>
          <w:jc w:val="center"/>
        </w:trPr>
        <w:tc>
          <w:tcPr>
            <w:tcW w:w="1012" w:type="dxa"/>
            <w:tcBorders>
              <w:top w:val="single" w:color="auto" w:sz="4" w:space="0"/>
            </w:tcBorders>
            <w:vAlign w:val="center"/>
          </w:tcPr>
          <w:p w14:paraId="69C84621">
            <w:pPr>
              <w:pStyle w:val="110"/>
              <w:ind w:right="230"/>
              <w:jc w:val="center"/>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5</w:t>
            </w:r>
          </w:p>
        </w:tc>
        <w:tc>
          <w:tcPr>
            <w:tcW w:w="1591" w:type="dxa"/>
            <w:tcBorders>
              <w:top w:val="single" w:color="auto" w:sz="4" w:space="0"/>
            </w:tcBorders>
            <w:vAlign w:val="center"/>
          </w:tcPr>
          <w:p w14:paraId="356D5758">
            <w:pPr>
              <w:pStyle w:val="110"/>
              <w:jc w:val="center"/>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项目预算、</w:t>
            </w:r>
          </w:p>
          <w:p w14:paraId="14018FE8">
            <w:pPr>
              <w:pStyle w:val="110"/>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en-US" w:eastAsia="zh-CN"/>
              </w:rPr>
              <w:t>分包情况</w:t>
            </w:r>
          </w:p>
        </w:tc>
        <w:tc>
          <w:tcPr>
            <w:tcW w:w="7154" w:type="dxa"/>
            <w:tcBorders>
              <w:top w:val="single" w:color="auto" w:sz="4" w:space="0"/>
            </w:tcBorders>
            <w:vAlign w:val="center"/>
          </w:tcPr>
          <w:p w14:paraId="49E10408">
            <w:pPr>
              <w:spacing w:line="360" w:lineRule="auto"/>
              <w:rPr>
                <w:rFonts w:hint="eastAsia" w:ascii="仿宋_GB2312" w:hAnsi="仿宋_GB2312" w:eastAsia="仿宋_GB2312"/>
                <w:b/>
                <w:bCs/>
                <w:lang w:eastAsia="zh-CN"/>
              </w:rPr>
            </w:pPr>
            <w:r>
              <w:rPr>
                <w:rFonts w:hint="eastAsia" w:ascii="仿宋_GB2312" w:hAnsi="仿宋_GB2312" w:eastAsia="仿宋_GB2312"/>
                <w:b/>
                <w:bCs/>
                <w:lang w:eastAsia="zh-CN"/>
              </w:rPr>
              <w:t>采购预算</w:t>
            </w:r>
            <w:r>
              <w:rPr>
                <w:rFonts w:hint="eastAsia" w:ascii="仿宋_GB2312" w:hAnsi="仿宋_GB2312" w:eastAsia="仿宋_GB2312"/>
                <w:b/>
                <w:bCs/>
                <w:lang w:val="en-US" w:eastAsia="zh-CN"/>
              </w:rPr>
              <w:t>200</w:t>
            </w:r>
            <w:r>
              <w:rPr>
                <w:rFonts w:hint="eastAsia" w:ascii="仿宋_GB2312" w:hAnsi="仿宋_GB2312" w:eastAsia="仿宋_GB2312"/>
                <w:b/>
                <w:bCs/>
                <w:lang w:eastAsia="zh-CN"/>
              </w:rPr>
              <w:t>万元，最高限价为</w:t>
            </w:r>
            <w:r>
              <w:rPr>
                <w:rFonts w:hint="eastAsia" w:ascii="仿宋_GB2312" w:hAnsi="仿宋_GB2312" w:eastAsia="仿宋_GB2312"/>
                <w:b/>
                <w:bCs/>
                <w:lang w:val="en-US" w:eastAsia="zh-CN"/>
              </w:rPr>
              <w:t>183.19</w:t>
            </w:r>
            <w:r>
              <w:rPr>
                <w:rFonts w:hint="eastAsia" w:ascii="仿宋_GB2312" w:hAnsi="仿宋_GB2312" w:eastAsia="仿宋_GB2312"/>
                <w:b/>
                <w:bCs/>
                <w:lang w:eastAsia="zh-CN"/>
              </w:rPr>
              <w:t>万元。本项目分为一包，采购</w:t>
            </w:r>
            <w:r>
              <w:rPr>
                <w:rFonts w:hint="eastAsia" w:ascii="仿宋_GB2312" w:hAnsi="仿宋_GB2312" w:eastAsia="仿宋_GB2312"/>
                <w:b/>
                <w:bCs/>
                <w:lang w:val="en-US" w:eastAsia="zh-CN"/>
              </w:rPr>
              <w:t>陇南市住房公积金核心业务系统升级建设</w:t>
            </w:r>
            <w:r>
              <w:rPr>
                <w:rFonts w:hint="eastAsia" w:ascii="仿宋_GB2312" w:hAnsi="仿宋_GB2312" w:eastAsia="仿宋_GB2312"/>
                <w:b/>
                <w:bCs/>
                <w:lang w:eastAsia="zh-CN"/>
              </w:rPr>
              <w:t>。（</w:t>
            </w:r>
            <w:r>
              <w:rPr>
                <w:rFonts w:hint="eastAsia" w:ascii="仿宋_GB2312" w:hAnsi="仿宋_GB2312" w:eastAsia="仿宋_GB2312"/>
                <w:b/>
                <w:bCs/>
                <w:lang w:val="en-US" w:eastAsia="zh-CN"/>
              </w:rPr>
              <w:t>具体采购需求详见第三章</w:t>
            </w:r>
            <w:r>
              <w:rPr>
                <w:rFonts w:hint="eastAsia" w:ascii="仿宋_GB2312" w:hAnsi="仿宋_GB2312" w:eastAsia="仿宋_GB2312"/>
                <w:b/>
                <w:bCs/>
                <w:lang w:eastAsia="zh-CN"/>
              </w:rPr>
              <w:t>）</w:t>
            </w:r>
          </w:p>
        </w:tc>
      </w:tr>
      <w:tr w14:paraId="6CB34D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0" w:hRule="exact"/>
          <w:jc w:val="center"/>
        </w:trPr>
        <w:tc>
          <w:tcPr>
            <w:tcW w:w="1012" w:type="dxa"/>
            <w:vAlign w:val="center"/>
          </w:tcPr>
          <w:p w14:paraId="385FC122">
            <w:pPr>
              <w:pStyle w:val="110"/>
              <w:ind w:right="230"/>
              <w:jc w:val="center"/>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6</w:t>
            </w:r>
          </w:p>
        </w:tc>
        <w:tc>
          <w:tcPr>
            <w:tcW w:w="1591" w:type="dxa"/>
            <w:vAlign w:val="center"/>
          </w:tcPr>
          <w:p w14:paraId="76DA0A0E">
            <w:pPr>
              <w:pStyle w:val="110"/>
              <w:ind w:left="38"/>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资金来源</w:t>
            </w:r>
          </w:p>
        </w:tc>
        <w:tc>
          <w:tcPr>
            <w:tcW w:w="7154" w:type="dxa"/>
            <w:vAlign w:val="center"/>
          </w:tcPr>
          <w:p w14:paraId="1E0D5A86">
            <w:pPr>
              <w:widowControl/>
              <w:spacing w:line="400" w:lineRule="atLeast"/>
              <w:jc w:val="left"/>
              <w:rPr>
                <w:rFonts w:ascii="仿宋_GB2312" w:hAnsi="仿宋_GB2312" w:eastAsia="仿宋_GB2312"/>
                <w:sz w:val="22"/>
                <w:szCs w:val="22"/>
                <w:lang w:val="zh-CN"/>
              </w:rPr>
            </w:pPr>
            <w:r>
              <w:rPr>
                <w:rFonts w:hint="eastAsia" w:ascii="仿宋_GB2312" w:hAnsi="仿宋_GB2312" w:eastAsia="仿宋_GB2312" w:cs="仿宋_GB2312"/>
                <w:sz w:val="22"/>
                <w:szCs w:val="22"/>
                <w:lang w:val="zh-CN"/>
              </w:rPr>
              <w:t>（</w:t>
            </w:r>
            <w:r>
              <w:rPr>
                <w:rFonts w:ascii="仿宋_GB2312" w:hAnsi="仿宋_GB2312" w:eastAsia="仿宋_GB2312" w:cs="仿宋_GB2312"/>
                <w:sz w:val="22"/>
                <w:szCs w:val="22"/>
              </w:rPr>
              <w:t xml:space="preserve"> </w:t>
            </w:r>
            <w:r>
              <w:rPr>
                <w:rFonts w:hint="default" w:ascii="Arial" w:hAnsi="Arial" w:eastAsia="仿宋_GB2312" w:cs="Arial"/>
                <w:sz w:val="22"/>
                <w:szCs w:val="22"/>
              </w:rPr>
              <w:t>√</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zh-CN"/>
              </w:rPr>
              <w:t>）财政预算</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zh-CN"/>
              </w:rPr>
              <w:t>（</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zh-CN"/>
              </w:rPr>
              <w:t>）单位自有资金。</w:t>
            </w:r>
          </w:p>
          <w:p w14:paraId="7752E288">
            <w:pPr>
              <w:widowControl/>
              <w:spacing w:line="400" w:lineRule="atLeast"/>
              <w:ind w:firstLine="220" w:firstLineChars="100"/>
              <w:jc w:val="left"/>
              <w:rPr>
                <w:rFonts w:ascii="仿宋_GB2312" w:hAnsi="仿宋_GB2312" w:eastAsia="仿宋_GB2312"/>
                <w:kern w:val="0"/>
              </w:rPr>
            </w:pPr>
            <w:r>
              <w:rPr>
                <w:rFonts w:hint="eastAsia" w:ascii="仿宋_GB2312" w:hAnsi="仿宋_GB2312" w:eastAsia="仿宋_GB2312" w:cs="仿宋_GB2312"/>
                <w:sz w:val="22"/>
                <w:szCs w:val="22"/>
              </w:rPr>
              <w:t>资金已落实，尚未采购。</w:t>
            </w:r>
          </w:p>
        </w:tc>
      </w:tr>
      <w:tr w14:paraId="10CA91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9" w:hRule="exact"/>
          <w:jc w:val="center"/>
        </w:trPr>
        <w:tc>
          <w:tcPr>
            <w:tcW w:w="1012" w:type="dxa"/>
            <w:vAlign w:val="center"/>
          </w:tcPr>
          <w:p w14:paraId="3AA5D4AC">
            <w:pPr>
              <w:pStyle w:val="110"/>
              <w:ind w:right="230"/>
              <w:jc w:val="center"/>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7</w:t>
            </w:r>
          </w:p>
        </w:tc>
        <w:tc>
          <w:tcPr>
            <w:tcW w:w="1591" w:type="dxa"/>
            <w:vAlign w:val="center"/>
          </w:tcPr>
          <w:p w14:paraId="70D5B7DE">
            <w:pPr>
              <w:pStyle w:val="110"/>
              <w:ind w:left="38"/>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采购方式</w:t>
            </w:r>
          </w:p>
        </w:tc>
        <w:tc>
          <w:tcPr>
            <w:tcW w:w="7154" w:type="dxa"/>
            <w:vAlign w:val="center"/>
          </w:tcPr>
          <w:p w14:paraId="20C15207">
            <w:pPr>
              <w:pStyle w:val="110"/>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val="zh-CN" w:eastAsia="zh-CN"/>
              </w:rPr>
              <w:t xml:space="preserve">  </w:t>
            </w:r>
            <w:r>
              <w:rPr>
                <w:rFonts w:hint="eastAsia" w:ascii="仿宋_GB2312" w:hAnsi="仿宋_GB2312" w:eastAsia="仿宋_GB2312" w:cs="仿宋_GB2312"/>
                <w:sz w:val="21"/>
                <w:szCs w:val="21"/>
                <w:lang w:val="zh-CN" w:eastAsia="zh-CN"/>
              </w:rPr>
              <w:t>公开招标</w:t>
            </w:r>
          </w:p>
        </w:tc>
      </w:tr>
      <w:tr w14:paraId="31AE13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1012" w:type="dxa"/>
            <w:vAlign w:val="center"/>
          </w:tcPr>
          <w:p w14:paraId="7EF687B3">
            <w:pPr>
              <w:pStyle w:val="110"/>
              <w:ind w:right="230"/>
              <w:jc w:val="center"/>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8</w:t>
            </w:r>
          </w:p>
        </w:tc>
        <w:tc>
          <w:tcPr>
            <w:tcW w:w="1591" w:type="dxa"/>
            <w:vAlign w:val="center"/>
          </w:tcPr>
          <w:p w14:paraId="7A9C2D6C">
            <w:pPr>
              <w:pStyle w:val="110"/>
              <w:keepNext w:val="0"/>
              <w:keepLines w:val="0"/>
              <w:pageBreakBefore w:val="0"/>
              <w:widowControl w:val="0"/>
              <w:kinsoku/>
              <w:wordWrap/>
              <w:overflowPunct/>
              <w:topLinePunct w:val="0"/>
              <w:autoSpaceDE w:val="0"/>
              <w:autoSpaceDN w:val="0"/>
              <w:bidi w:val="0"/>
              <w:adjustRightInd w:val="0"/>
              <w:snapToGrid/>
              <w:spacing w:after="0"/>
              <w:jc w:val="center"/>
              <w:textAlignment w:val="auto"/>
              <w:rPr>
                <w:b/>
                <w:bCs/>
                <w:lang w:val="zh-CN" w:eastAsia="zh-CN"/>
              </w:rPr>
            </w:pPr>
            <w:r>
              <w:rPr>
                <w:rFonts w:hint="eastAsia"/>
                <w:b/>
                <w:bCs/>
                <w:lang w:val="zh-CN" w:eastAsia="zh-CN"/>
              </w:rPr>
              <w:t>评标办法、</w:t>
            </w:r>
          </w:p>
          <w:p w14:paraId="45AAC55A">
            <w:pPr>
              <w:pStyle w:val="110"/>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_GB2312" w:hAnsi="仿宋_GB2312" w:eastAsia="仿宋_GB2312" w:cs="Times New Roman"/>
                <w:b/>
                <w:bCs/>
                <w:szCs w:val="21"/>
                <w:lang w:val="zh-CN" w:eastAsia="zh-CN"/>
              </w:rPr>
            </w:pPr>
            <w:r>
              <w:rPr>
                <w:rFonts w:hint="eastAsia"/>
                <w:b/>
                <w:bCs/>
                <w:lang w:val="zh-CN" w:eastAsia="zh-CN"/>
              </w:rPr>
              <w:t>定标方式</w:t>
            </w:r>
          </w:p>
        </w:tc>
        <w:tc>
          <w:tcPr>
            <w:tcW w:w="7154" w:type="dxa"/>
            <w:vAlign w:val="center"/>
          </w:tcPr>
          <w:p w14:paraId="1F010B85">
            <w:pPr>
              <w:pStyle w:val="110"/>
              <w:ind w:left="634" w:leftChars="102" w:hanging="420" w:hangingChars="200"/>
              <w:jc w:val="left"/>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本项目采用综合评分法；</w:t>
            </w:r>
          </w:p>
          <w:p w14:paraId="06206573">
            <w:pPr>
              <w:pStyle w:val="110"/>
              <w:ind w:left="634" w:leftChars="102" w:hanging="420" w:hangingChars="200"/>
              <w:jc w:val="left"/>
              <w:rPr>
                <w:rFonts w:ascii="仿宋_GB2312" w:hAnsi="仿宋_GB2312" w:eastAsia="仿宋_GB2312" w:cs="Times New Roman"/>
                <w:kern w:val="2"/>
                <w:sz w:val="21"/>
                <w:szCs w:val="21"/>
                <w:lang w:val="zh-CN" w:eastAsia="zh-CN"/>
              </w:rPr>
            </w:pPr>
            <w:r>
              <w:rPr>
                <w:rFonts w:hint="eastAsia" w:ascii="仿宋_GB2312" w:hAnsi="仿宋_GB2312" w:eastAsia="仿宋_GB2312" w:cs="仿宋_GB2312"/>
                <w:sz w:val="21"/>
                <w:szCs w:val="21"/>
                <w:lang w:val="zh-CN" w:eastAsia="zh-CN"/>
              </w:rPr>
              <w:t>定标方式：由评标委员会推荐，采购单位按照评标报告推荐的顺序确定中标单位。</w:t>
            </w:r>
          </w:p>
        </w:tc>
      </w:tr>
      <w:tr w14:paraId="6FAAD9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8" w:hRule="exact"/>
          <w:jc w:val="center"/>
        </w:trPr>
        <w:tc>
          <w:tcPr>
            <w:tcW w:w="1012" w:type="dxa"/>
            <w:vAlign w:val="center"/>
          </w:tcPr>
          <w:p w14:paraId="3E099ADC">
            <w:pPr>
              <w:pStyle w:val="110"/>
              <w:ind w:right="230"/>
              <w:jc w:val="center"/>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9</w:t>
            </w:r>
          </w:p>
        </w:tc>
        <w:tc>
          <w:tcPr>
            <w:tcW w:w="1591" w:type="dxa"/>
            <w:vAlign w:val="center"/>
          </w:tcPr>
          <w:p w14:paraId="64987C1C">
            <w:pPr>
              <w:pStyle w:val="110"/>
              <w:keepNext w:val="0"/>
              <w:keepLines w:val="0"/>
              <w:pageBreakBefore w:val="0"/>
              <w:widowControl w:val="0"/>
              <w:kinsoku/>
              <w:wordWrap/>
              <w:overflowPunct/>
              <w:topLinePunct w:val="0"/>
              <w:autoSpaceDE w:val="0"/>
              <w:autoSpaceDN w:val="0"/>
              <w:bidi w:val="0"/>
              <w:adjustRightInd w:val="0"/>
              <w:snapToGrid/>
              <w:spacing w:after="0"/>
              <w:ind w:left="96"/>
              <w:jc w:val="center"/>
              <w:textAlignment w:val="auto"/>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质量要求、</w:t>
            </w:r>
          </w:p>
          <w:p w14:paraId="4A4A2208">
            <w:pPr>
              <w:pStyle w:val="110"/>
              <w:keepNext w:val="0"/>
              <w:keepLines w:val="0"/>
              <w:pageBreakBefore w:val="0"/>
              <w:widowControl w:val="0"/>
              <w:kinsoku/>
              <w:wordWrap/>
              <w:overflowPunct/>
              <w:topLinePunct w:val="0"/>
              <w:autoSpaceDE w:val="0"/>
              <w:autoSpaceDN w:val="0"/>
              <w:bidi w:val="0"/>
              <w:adjustRightInd w:val="0"/>
              <w:snapToGrid/>
              <w:spacing w:after="0"/>
              <w:ind w:left="96"/>
              <w:jc w:val="center"/>
              <w:textAlignment w:val="auto"/>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验收标准</w:t>
            </w:r>
          </w:p>
        </w:tc>
        <w:tc>
          <w:tcPr>
            <w:tcW w:w="7154" w:type="dxa"/>
            <w:vAlign w:val="center"/>
          </w:tcPr>
          <w:p w14:paraId="2133B3B8">
            <w:pPr>
              <w:pStyle w:val="110"/>
              <w:ind w:firstLine="210" w:firstLineChars="100"/>
              <w:rPr>
                <w:rFonts w:ascii="仿宋_GB2312" w:hAnsi="仿宋_GB2312" w:eastAsia="仿宋_GB2312" w:cs="Times New Roman"/>
                <w:sz w:val="21"/>
                <w:szCs w:val="21"/>
                <w:lang w:eastAsia="zh-CN"/>
              </w:rPr>
            </w:pPr>
            <w:r>
              <w:rPr>
                <w:rFonts w:hint="eastAsia" w:ascii="仿宋_GB2312" w:hAnsi="仿宋_GB2312" w:eastAsia="仿宋_GB2312" w:cs="仿宋_GB2312"/>
                <w:sz w:val="21"/>
                <w:szCs w:val="21"/>
                <w:lang w:val="zh-CN" w:eastAsia="zh-CN"/>
              </w:rPr>
              <w:t>质量要求：达到国家现行</w:t>
            </w:r>
            <w:r>
              <w:rPr>
                <w:rFonts w:hint="eastAsia" w:ascii="仿宋_GB2312" w:hAnsi="仿宋_GB2312" w:eastAsia="仿宋_GB2312" w:cs="仿宋_GB2312"/>
                <w:sz w:val="21"/>
                <w:szCs w:val="21"/>
                <w:lang w:eastAsia="zh-CN"/>
              </w:rPr>
              <w:t>技术标准。</w:t>
            </w:r>
          </w:p>
          <w:p w14:paraId="6381C5FE">
            <w:pPr>
              <w:pStyle w:val="110"/>
              <w:ind w:firstLine="210" w:firstLineChars="100"/>
              <w:rPr>
                <w:rFonts w:ascii="仿宋_GB2312" w:hAnsi="仿宋_GB2312" w:eastAsia="仿宋_GB2312" w:cs="Times New Roman"/>
                <w:sz w:val="21"/>
                <w:szCs w:val="21"/>
                <w:lang w:eastAsia="zh-CN"/>
              </w:rPr>
            </w:pPr>
            <w:r>
              <w:rPr>
                <w:rFonts w:hint="eastAsia" w:ascii="仿宋_GB2312" w:hAnsi="仿宋_GB2312" w:eastAsia="仿宋_GB2312" w:cs="仿宋_GB2312"/>
                <w:sz w:val="21"/>
                <w:szCs w:val="21"/>
                <w:lang w:eastAsia="zh-CN"/>
              </w:rPr>
              <w:t>验收标准：符合质量要求</w:t>
            </w:r>
          </w:p>
        </w:tc>
      </w:tr>
      <w:tr w14:paraId="72B145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3" w:hRule="atLeast"/>
          <w:jc w:val="center"/>
        </w:trPr>
        <w:tc>
          <w:tcPr>
            <w:tcW w:w="1012" w:type="dxa"/>
            <w:tcBorders>
              <w:bottom w:val="single" w:color="auto" w:sz="4" w:space="0"/>
            </w:tcBorders>
            <w:vAlign w:val="center"/>
          </w:tcPr>
          <w:p w14:paraId="5CEDB11F">
            <w:pPr>
              <w:pStyle w:val="110"/>
              <w:ind w:right="230"/>
              <w:jc w:val="center"/>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10</w:t>
            </w:r>
          </w:p>
        </w:tc>
        <w:tc>
          <w:tcPr>
            <w:tcW w:w="1591" w:type="dxa"/>
            <w:tcBorders>
              <w:bottom w:val="single" w:color="auto" w:sz="4" w:space="0"/>
            </w:tcBorders>
            <w:vAlign w:val="center"/>
          </w:tcPr>
          <w:p w14:paraId="30A01A61">
            <w:pPr>
              <w:pStyle w:val="110"/>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联合体投标</w:t>
            </w:r>
          </w:p>
        </w:tc>
        <w:tc>
          <w:tcPr>
            <w:tcW w:w="7154" w:type="dxa"/>
            <w:tcBorders>
              <w:bottom w:val="single" w:color="auto" w:sz="4" w:space="0"/>
            </w:tcBorders>
            <w:vAlign w:val="center"/>
          </w:tcPr>
          <w:p w14:paraId="281D9E6E">
            <w:pPr>
              <w:pStyle w:val="110"/>
              <w:ind w:left="210" w:leftChars="100" w:firstLine="220" w:firstLineChars="100"/>
              <w:rPr>
                <w:rFonts w:ascii="仿宋_GB2312" w:hAnsi="仿宋_GB2312" w:eastAsia="仿宋_GB2312" w:cs="Times New Roman"/>
                <w:sz w:val="21"/>
                <w:szCs w:val="21"/>
                <w:lang w:val="zh-CN" w:eastAsia="zh-CN"/>
              </w:rPr>
            </w:pPr>
            <w:r>
              <w:rPr>
                <w:rFonts w:ascii="仿宋_GB2312" w:hAnsi="仿宋_GB2312" w:eastAsia="仿宋_GB2312" w:cs="仿宋_GB2312"/>
                <w:kern w:val="2"/>
                <w:sz w:val="22"/>
                <w:szCs w:val="22"/>
                <w:lang w:eastAsia="zh-CN"/>
              </w:rPr>
              <w:t xml:space="preserve">(  </w:t>
            </w:r>
            <w:r>
              <w:rPr>
                <w:rFonts w:hint="default" w:ascii="Arial" w:hAnsi="Arial" w:eastAsia="仿宋_GB2312" w:cs="Arial"/>
                <w:sz w:val="22"/>
                <w:szCs w:val="22"/>
              </w:rPr>
              <w:t>√</w:t>
            </w:r>
            <w:r>
              <w:rPr>
                <w:rFonts w:ascii="仿宋_GB2312" w:hAnsi="仿宋_GB2312" w:eastAsia="仿宋_GB2312" w:cs="仿宋_GB2312"/>
                <w:sz w:val="22"/>
                <w:szCs w:val="22"/>
              </w:rPr>
              <w:t xml:space="preserve"> </w:t>
            </w:r>
            <w:r>
              <w:rPr>
                <w:rFonts w:ascii="仿宋_GB2312" w:hAnsi="仿宋_GB2312" w:eastAsia="仿宋_GB2312" w:cs="仿宋_GB2312"/>
                <w:kern w:val="2"/>
                <w:sz w:val="22"/>
                <w:szCs w:val="22"/>
                <w:lang w:eastAsia="zh-CN"/>
              </w:rPr>
              <w:t xml:space="preserve">  )  </w:t>
            </w:r>
            <w:r>
              <w:rPr>
                <w:rFonts w:hint="eastAsia" w:ascii="仿宋_GB2312" w:hAnsi="仿宋_GB2312" w:eastAsia="仿宋_GB2312" w:cs="仿宋_GB2312"/>
                <w:kern w:val="2"/>
                <w:sz w:val="22"/>
                <w:szCs w:val="22"/>
              </w:rPr>
              <w:t>不接受</w:t>
            </w:r>
            <w:r>
              <w:rPr>
                <w:rFonts w:ascii="仿宋_GB2312" w:hAnsi="仿宋_GB2312" w:eastAsia="仿宋_GB2312" w:cs="仿宋_GB2312"/>
                <w:kern w:val="2"/>
                <w:sz w:val="22"/>
                <w:szCs w:val="22"/>
                <w:lang w:eastAsia="zh-CN"/>
              </w:rPr>
              <w:t xml:space="preserve">         </w:t>
            </w:r>
            <w:r>
              <w:rPr>
                <w:rFonts w:hint="eastAsia" w:ascii="仿宋_GB2312" w:hAnsi="仿宋_GB2312" w:eastAsia="仿宋_GB2312" w:cs="仿宋_GB2312"/>
                <w:kern w:val="2"/>
                <w:sz w:val="22"/>
                <w:szCs w:val="22"/>
                <w:lang w:eastAsia="zh-CN"/>
              </w:rPr>
              <w:t>（</w:t>
            </w:r>
            <w:r>
              <w:rPr>
                <w:rFonts w:ascii="仿宋_GB2312" w:hAnsi="仿宋_GB2312" w:eastAsia="仿宋_GB2312" w:cs="仿宋_GB2312"/>
                <w:kern w:val="2"/>
                <w:sz w:val="22"/>
                <w:szCs w:val="22"/>
                <w:lang w:eastAsia="zh-CN"/>
              </w:rPr>
              <w:t xml:space="preserve">   </w:t>
            </w:r>
            <w:r>
              <w:rPr>
                <w:rFonts w:hint="eastAsia" w:ascii="仿宋_GB2312" w:hAnsi="仿宋_GB2312" w:eastAsia="仿宋_GB2312" w:cs="仿宋_GB2312"/>
                <w:kern w:val="2"/>
                <w:sz w:val="22"/>
                <w:szCs w:val="22"/>
                <w:lang w:eastAsia="zh-CN"/>
              </w:rPr>
              <w:t>）接受</w:t>
            </w:r>
          </w:p>
        </w:tc>
      </w:tr>
      <w:tr w14:paraId="68429C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1012" w:type="dxa"/>
            <w:tcBorders>
              <w:top w:val="single" w:color="auto" w:sz="4" w:space="0"/>
            </w:tcBorders>
            <w:vAlign w:val="center"/>
          </w:tcPr>
          <w:p w14:paraId="1D891100">
            <w:pPr>
              <w:pStyle w:val="110"/>
              <w:ind w:right="230"/>
              <w:jc w:val="center"/>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11</w:t>
            </w:r>
          </w:p>
        </w:tc>
        <w:tc>
          <w:tcPr>
            <w:tcW w:w="1591" w:type="dxa"/>
            <w:tcBorders>
              <w:top w:val="single" w:color="auto" w:sz="4" w:space="0"/>
            </w:tcBorders>
            <w:vAlign w:val="center"/>
          </w:tcPr>
          <w:p w14:paraId="43E0D3A6">
            <w:pPr>
              <w:pStyle w:val="110"/>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考察现场、</w:t>
            </w:r>
          </w:p>
          <w:p w14:paraId="32CBA8CE">
            <w:pPr>
              <w:pStyle w:val="110"/>
              <w:jc w:val="center"/>
              <w:rPr>
                <w:rFonts w:ascii="仿宋_GB2312" w:hAnsi="仿宋_GB2312" w:eastAsia="仿宋_GB2312" w:cs="Times New Roman"/>
                <w:b/>
                <w:bCs/>
                <w:sz w:val="21"/>
                <w:szCs w:val="21"/>
                <w:lang w:eastAsia="zh-CN"/>
              </w:rPr>
            </w:pPr>
            <w:r>
              <w:rPr>
                <w:rFonts w:hint="eastAsia" w:ascii="仿宋_GB2312" w:hAnsi="仿宋_GB2312" w:eastAsia="仿宋_GB2312" w:cs="仿宋_GB2312"/>
                <w:b/>
                <w:bCs/>
                <w:sz w:val="21"/>
                <w:szCs w:val="21"/>
                <w:lang w:eastAsia="zh-CN"/>
              </w:rPr>
              <w:t>标前答疑会</w:t>
            </w:r>
          </w:p>
        </w:tc>
        <w:tc>
          <w:tcPr>
            <w:tcW w:w="7154" w:type="dxa"/>
            <w:tcBorders>
              <w:top w:val="single" w:color="auto" w:sz="4" w:space="0"/>
            </w:tcBorders>
            <w:vAlign w:val="center"/>
          </w:tcPr>
          <w:p w14:paraId="5E42700A">
            <w:pPr>
              <w:pStyle w:val="126"/>
              <w:adjustRightInd/>
              <w:spacing w:before="0" w:after="0" w:line="360" w:lineRule="auto"/>
              <w:ind w:firstLine="440" w:firstLineChars="200"/>
              <w:textAlignment w:val="auto"/>
              <w:rPr>
                <w:rFonts w:ascii="仿宋_GB2312" w:hAnsi="仿宋_GB2312" w:eastAsia="仿宋_GB2312" w:cs="Times New Roman"/>
                <w:color w:val="auto"/>
                <w:sz w:val="22"/>
                <w:szCs w:val="22"/>
              </w:rPr>
            </w:pPr>
            <w:r>
              <w:rPr>
                <w:rFonts w:hint="eastAsia" w:ascii="仿宋_GB2312" w:hAnsi="仿宋_GB2312" w:eastAsia="仿宋_GB2312" w:cs="仿宋_GB2312"/>
                <w:color w:val="auto"/>
                <w:kern w:val="2"/>
                <w:sz w:val="22"/>
                <w:szCs w:val="22"/>
                <w:lang w:val="zh-CN"/>
              </w:rPr>
              <w:t>（</w:t>
            </w:r>
            <w:r>
              <w:rPr>
                <w:rFonts w:ascii="仿宋_GB2312" w:hAnsi="仿宋_GB2312" w:eastAsia="仿宋_GB2312" w:cs="仿宋_GB2312"/>
                <w:color w:val="auto"/>
                <w:kern w:val="2"/>
                <w:sz w:val="22"/>
                <w:szCs w:val="22"/>
              </w:rPr>
              <w:t xml:space="preserve">  </w:t>
            </w:r>
            <w:r>
              <w:rPr>
                <w:rFonts w:hint="default" w:ascii="Arial" w:hAnsi="Arial" w:eastAsia="仿宋_GB2312" w:cs="Arial"/>
                <w:sz w:val="22"/>
                <w:szCs w:val="22"/>
              </w:rPr>
              <w:t>√</w:t>
            </w:r>
            <w:r>
              <w:rPr>
                <w:rFonts w:ascii="仿宋_GB2312" w:hAnsi="仿宋_GB2312" w:eastAsia="仿宋_GB2312" w:cs="仿宋_GB2312"/>
                <w:sz w:val="22"/>
                <w:szCs w:val="22"/>
              </w:rPr>
              <w:t xml:space="preserve"> </w:t>
            </w:r>
            <w:r>
              <w:rPr>
                <w:rFonts w:ascii="仿宋_GB2312" w:hAnsi="仿宋_GB2312" w:eastAsia="仿宋_GB2312" w:cs="仿宋_GB2312"/>
                <w:color w:val="auto"/>
                <w:kern w:val="2"/>
                <w:sz w:val="22"/>
                <w:szCs w:val="22"/>
              </w:rPr>
              <w:t xml:space="preserve"> </w:t>
            </w:r>
            <w:r>
              <w:rPr>
                <w:rFonts w:hint="eastAsia" w:ascii="仿宋_GB2312" w:hAnsi="仿宋_GB2312" w:eastAsia="仿宋_GB2312" w:cs="仿宋_GB2312"/>
                <w:color w:val="auto"/>
                <w:kern w:val="2"/>
                <w:sz w:val="22"/>
                <w:szCs w:val="22"/>
                <w:lang w:val="zh-CN"/>
              </w:rPr>
              <w:t>）不组织</w:t>
            </w:r>
          </w:p>
          <w:p w14:paraId="63874B9D">
            <w:pPr>
              <w:pStyle w:val="126"/>
              <w:adjustRightInd/>
              <w:spacing w:before="0" w:after="0" w:line="360" w:lineRule="auto"/>
              <w:ind w:left="31680" w:hanging="442" w:hangingChars="201"/>
              <w:textAlignment w:val="auto"/>
              <w:rPr>
                <w:rFonts w:ascii="仿宋_GB2312" w:hAnsi="仿宋_GB2312" w:eastAsia="仿宋_GB2312" w:cs="Times New Roman"/>
                <w:color w:val="auto"/>
                <w:sz w:val="22"/>
                <w:szCs w:val="22"/>
                <w:lang w:val="zh-CN"/>
              </w:rPr>
            </w:pP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）组</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织</w:t>
            </w:r>
            <w:r>
              <w:rPr>
                <w:rFonts w:ascii="仿宋_GB2312" w:hAnsi="仿宋_GB2312" w:eastAsia="仿宋_GB2312" w:cs="仿宋_GB2312"/>
                <w:color w:val="auto"/>
                <w:sz w:val="22"/>
                <w:szCs w:val="22"/>
              </w:rPr>
              <w:t xml:space="preserve">  </w:t>
            </w:r>
          </w:p>
          <w:p w14:paraId="7329BEF5">
            <w:pPr>
              <w:pStyle w:val="126"/>
              <w:adjustRightInd/>
              <w:spacing w:before="0" w:after="0" w:line="360" w:lineRule="auto"/>
              <w:ind w:left="31680" w:hanging="442" w:hangingChars="201"/>
              <w:textAlignment w:val="auto"/>
              <w:rPr>
                <w:rFonts w:ascii="仿宋_GB2312" w:hAnsi="仿宋_GB2312" w:eastAsia="仿宋_GB2312" w:cs="Times New Roman"/>
                <w:color w:val="auto"/>
                <w:sz w:val="22"/>
                <w:szCs w:val="22"/>
                <w:lang w:val="zh-CN"/>
              </w:rPr>
            </w:pP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集合时间</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年</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月</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日</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时</w:t>
            </w:r>
          </w:p>
          <w:p w14:paraId="52315F17">
            <w:pPr>
              <w:pStyle w:val="126"/>
              <w:adjustRightInd/>
              <w:spacing w:before="0" w:after="0" w:line="360" w:lineRule="auto"/>
              <w:ind w:left="31680" w:hanging="442" w:hangingChars="201"/>
              <w:textAlignment w:val="auto"/>
              <w:rPr>
                <w:rFonts w:ascii="仿宋_GB2312" w:hAnsi="仿宋_GB2312" w:eastAsia="仿宋_GB2312" w:cs="Times New Roman"/>
                <w:color w:val="auto"/>
                <w:sz w:val="22"/>
                <w:szCs w:val="22"/>
              </w:rPr>
            </w:pP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集合地点：</w:t>
            </w:r>
            <w:r>
              <w:rPr>
                <w:rFonts w:ascii="仿宋_GB2312" w:hAnsi="仿宋_GB2312" w:eastAsia="仿宋_GB2312" w:cs="仿宋_GB2312"/>
                <w:color w:val="auto"/>
                <w:sz w:val="22"/>
                <w:szCs w:val="22"/>
              </w:rPr>
              <w:t xml:space="preserve"> </w:t>
            </w:r>
          </w:p>
          <w:p w14:paraId="27FD0AAD">
            <w:pPr>
              <w:pStyle w:val="126"/>
              <w:adjustRightInd/>
              <w:spacing w:before="0" w:after="0" w:line="360" w:lineRule="auto"/>
              <w:ind w:left="31680" w:hanging="442" w:hangingChars="201"/>
              <w:textAlignment w:val="auto"/>
              <w:rPr>
                <w:rFonts w:ascii="仿宋_GB2312" w:hAnsi="仿宋_GB2312" w:eastAsia="仿宋_GB2312" w:cs="仿宋_GB2312"/>
                <w:color w:val="auto"/>
                <w:sz w:val="22"/>
                <w:szCs w:val="22"/>
                <w:lang w:val="zh-CN"/>
              </w:rPr>
            </w:pP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联系人：</w:t>
            </w:r>
            <w:r>
              <w:rPr>
                <w:rFonts w:ascii="仿宋_GB2312" w:hAnsi="仿宋_GB2312" w:eastAsia="仿宋_GB2312" w:cs="仿宋_GB2312"/>
                <w:color w:val="auto"/>
                <w:sz w:val="22"/>
                <w:szCs w:val="22"/>
              </w:rPr>
              <w:t xml:space="preserve"> </w:t>
            </w:r>
            <w:r>
              <w:rPr>
                <w:rFonts w:ascii="仿宋_GB2312" w:hAnsi="仿宋_GB2312" w:eastAsia="仿宋_GB2312" w:cs="仿宋_GB2312"/>
                <w:color w:val="auto"/>
                <w:sz w:val="22"/>
                <w:szCs w:val="22"/>
                <w:lang w:val="zh-CN"/>
              </w:rPr>
              <w:t xml:space="preserve">  </w:t>
            </w:r>
            <w:r>
              <w:rPr>
                <w:rFonts w:ascii="仿宋_GB2312" w:hAnsi="仿宋_GB2312" w:eastAsia="仿宋_GB2312" w:cs="仿宋_GB2312"/>
                <w:color w:val="auto"/>
                <w:sz w:val="22"/>
                <w:szCs w:val="22"/>
              </w:rPr>
              <w:t xml:space="preserve">        </w:t>
            </w:r>
            <w:r>
              <w:rPr>
                <w:rFonts w:ascii="仿宋_GB2312" w:hAnsi="仿宋_GB2312" w:eastAsia="仿宋_GB2312" w:cs="仿宋_GB2312"/>
                <w:color w:val="auto"/>
                <w:sz w:val="22"/>
                <w:szCs w:val="22"/>
                <w:lang w:val="zh-CN"/>
              </w:rPr>
              <w:t xml:space="preserve">  </w:t>
            </w:r>
            <w:r>
              <w:rPr>
                <w:rFonts w:hint="eastAsia" w:ascii="仿宋_GB2312" w:hAnsi="仿宋_GB2312" w:eastAsia="仿宋_GB2312" w:cs="仿宋_GB2312"/>
                <w:color w:val="auto"/>
                <w:sz w:val="22"/>
                <w:szCs w:val="22"/>
                <w:lang w:val="zh-CN"/>
              </w:rPr>
              <w:t>联系电话：</w:t>
            </w:r>
            <w:r>
              <w:rPr>
                <w:rFonts w:ascii="仿宋_GB2312" w:hAnsi="仿宋_GB2312" w:eastAsia="仿宋_GB2312" w:cs="仿宋_GB2312"/>
                <w:color w:val="auto"/>
                <w:sz w:val="22"/>
                <w:szCs w:val="22"/>
                <w:lang w:val="zh-CN"/>
              </w:rPr>
              <w:t xml:space="preserve">      </w:t>
            </w:r>
          </w:p>
          <w:p w14:paraId="1E1EACA8">
            <w:pPr>
              <w:pStyle w:val="110"/>
              <w:ind w:left="210" w:leftChars="100"/>
              <w:rPr>
                <w:rFonts w:ascii="仿宋_GB2312" w:hAnsi="仿宋_GB2312" w:eastAsia="仿宋_GB2312" w:cs="Times New Roman"/>
                <w:sz w:val="21"/>
                <w:szCs w:val="21"/>
                <w:lang w:eastAsia="zh-CN"/>
              </w:rPr>
            </w:pPr>
            <w:r>
              <w:rPr>
                <w:rFonts w:ascii="仿宋_GB2312" w:hAnsi="仿宋_GB2312" w:eastAsia="仿宋_GB2312" w:cs="仿宋_GB2312"/>
                <w:sz w:val="22"/>
                <w:szCs w:val="22"/>
                <w:lang w:eastAsia="zh-CN"/>
              </w:rPr>
              <w:t xml:space="preserve">    </w:t>
            </w:r>
            <w:r>
              <w:rPr>
                <w:rFonts w:hint="eastAsia" w:ascii="仿宋_GB2312" w:hAnsi="仿宋_GB2312" w:eastAsia="仿宋_GB2312" w:cs="仿宋_GB2312"/>
                <w:sz w:val="22"/>
                <w:szCs w:val="22"/>
                <w:lang w:val="zh-CN" w:eastAsia="zh-CN"/>
              </w:rPr>
              <w:t>届时请每家投标人可安排不超过</w:t>
            </w:r>
            <w:r>
              <w:rPr>
                <w:rFonts w:ascii="仿宋_GB2312" w:hAnsi="仿宋_GB2312" w:eastAsia="仿宋_GB2312" w:cs="仿宋_GB2312"/>
                <w:sz w:val="22"/>
                <w:szCs w:val="22"/>
                <w:lang w:val="zh-CN" w:eastAsia="zh-CN"/>
              </w:rPr>
              <w:t>2</w:t>
            </w:r>
            <w:r>
              <w:rPr>
                <w:rFonts w:hint="eastAsia" w:ascii="仿宋_GB2312" w:hAnsi="仿宋_GB2312" w:eastAsia="仿宋_GB2312" w:cs="仿宋_GB2312"/>
                <w:sz w:val="22"/>
                <w:szCs w:val="22"/>
                <w:lang w:val="zh-CN" w:eastAsia="zh-CN"/>
              </w:rPr>
              <w:t>人出席，并须携带本人身份证原件及加盖投标单位公章的介绍信（证明函）。现场踏勘仅组织一次，投标人错过现场踏勘后果自负。</w:t>
            </w:r>
          </w:p>
        </w:tc>
      </w:tr>
      <w:tr w14:paraId="4C4708C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24" w:hRule="atLeast"/>
          <w:jc w:val="center"/>
        </w:trPr>
        <w:tc>
          <w:tcPr>
            <w:tcW w:w="1012" w:type="dxa"/>
            <w:vAlign w:val="center"/>
          </w:tcPr>
          <w:p w14:paraId="1DD10D94">
            <w:pPr>
              <w:pStyle w:val="110"/>
              <w:ind w:right="230"/>
              <w:jc w:val="center"/>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12</w:t>
            </w:r>
          </w:p>
        </w:tc>
        <w:tc>
          <w:tcPr>
            <w:tcW w:w="1591" w:type="dxa"/>
            <w:vAlign w:val="center"/>
          </w:tcPr>
          <w:p w14:paraId="169A7D5A">
            <w:pPr>
              <w:pStyle w:val="110"/>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投标人对招标文件提出质疑的期限</w:t>
            </w:r>
          </w:p>
        </w:tc>
        <w:tc>
          <w:tcPr>
            <w:tcW w:w="7154" w:type="dxa"/>
            <w:vAlign w:val="center"/>
          </w:tcPr>
          <w:p w14:paraId="3E7FFB9A">
            <w:pPr>
              <w:pStyle w:val="110"/>
              <w:ind w:firstLine="211" w:firstLineChars="100"/>
              <w:rPr>
                <w:rFonts w:ascii="仿宋_GB2312" w:hAnsi="仿宋_GB2312" w:eastAsia="仿宋_GB2312" w:cs="Times New Roman"/>
                <w:sz w:val="21"/>
                <w:szCs w:val="21"/>
                <w:lang w:val="zh-CN" w:eastAsia="zh-CN"/>
              </w:rPr>
            </w:pPr>
            <w:r>
              <w:rPr>
                <w:rFonts w:hint="eastAsia" w:ascii="仿宋_GB2312" w:hAnsi="仿宋_GB2312" w:eastAsia="仿宋_GB2312" w:cs="仿宋_GB2312"/>
                <w:b/>
                <w:bCs/>
                <w:sz w:val="21"/>
                <w:szCs w:val="21"/>
                <w:lang w:val="zh-CN" w:eastAsia="zh-CN"/>
              </w:rPr>
              <w:t>自收到采购文件之日或者采购文件公告期限届满之日起七个工作日内，逾期视为默认此项目招标文件所有条款，即对招标文件质疑不予受理。</w:t>
            </w:r>
          </w:p>
        </w:tc>
      </w:tr>
      <w:tr w14:paraId="51ACDE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63" w:hRule="exact"/>
          <w:jc w:val="center"/>
        </w:trPr>
        <w:tc>
          <w:tcPr>
            <w:tcW w:w="1012" w:type="dxa"/>
            <w:vAlign w:val="center"/>
          </w:tcPr>
          <w:p w14:paraId="41E04329">
            <w:pPr>
              <w:pStyle w:val="110"/>
              <w:ind w:right="230"/>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13</w:t>
            </w:r>
          </w:p>
        </w:tc>
        <w:tc>
          <w:tcPr>
            <w:tcW w:w="1591" w:type="dxa"/>
            <w:vAlign w:val="center"/>
          </w:tcPr>
          <w:p w14:paraId="74BD7049">
            <w:pPr>
              <w:pStyle w:val="110"/>
              <w:ind w:left="52"/>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构成招标文件的其他文件</w:t>
            </w:r>
          </w:p>
        </w:tc>
        <w:tc>
          <w:tcPr>
            <w:tcW w:w="7154" w:type="dxa"/>
            <w:vAlign w:val="center"/>
          </w:tcPr>
          <w:p w14:paraId="60424C24">
            <w:pPr>
              <w:pStyle w:val="110"/>
              <w:ind w:left="31680" w:hanging="210" w:hangingChars="100"/>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val="zh-CN" w:eastAsia="zh-CN"/>
              </w:rPr>
              <w:t xml:space="preserve">  </w:t>
            </w:r>
            <w:r>
              <w:rPr>
                <w:rFonts w:hint="eastAsia" w:ascii="仿宋_GB2312" w:hAnsi="仿宋_GB2312" w:eastAsia="仿宋_GB2312" w:cs="仿宋_GB2312"/>
                <w:sz w:val="21"/>
                <w:szCs w:val="21"/>
                <w:lang w:val="zh-CN" w:eastAsia="zh-CN"/>
              </w:rPr>
              <w:t>招标文件的澄清</w:t>
            </w:r>
            <w:r>
              <w:rPr>
                <w:rFonts w:hint="eastAsia" w:ascii="仿宋_GB2312" w:hAnsi="仿宋_GB2312" w:eastAsia="仿宋_GB2312" w:cs="仿宋_GB2312"/>
                <w:sz w:val="21"/>
                <w:szCs w:val="21"/>
                <w:lang w:eastAsia="zh-CN"/>
              </w:rPr>
              <w:t>、修改及有关补充说明为招标文件的有效组成部分。</w:t>
            </w:r>
          </w:p>
        </w:tc>
      </w:tr>
      <w:tr w14:paraId="5BE5CD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6" w:hRule="exact"/>
          <w:jc w:val="center"/>
        </w:trPr>
        <w:tc>
          <w:tcPr>
            <w:tcW w:w="1012" w:type="dxa"/>
            <w:vAlign w:val="center"/>
          </w:tcPr>
          <w:p w14:paraId="517DF45B">
            <w:pPr>
              <w:pStyle w:val="110"/>
              <w:ind w:right="230"/>
              <w:jc w:val="center"/>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14</w:t>
            </w:r>
          </w:p>
        </w:tc>
        <w:tc>
          <w:tcPr>
            <w:tcW w:w="1591" w:type="dxa"/>
            <w:vAlign w:val="center"/>
          </w:tcPr>
          <w:p w14:paraId="4B94789B">
            <w:pPr>
              <w:pStyle w:val="110"/>
              <w:ind w:left="52"/>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投标截止时间</w:t>
            </w:r>
          </w:p>
        </w:tc>
        <w:tc>
          <w:tcPr>
            <w:tcW w:w="7154" w:type="dxa"/>
            <w:vAlign w:val="center"/>
          </w:tcPr>
          <w:p w14:paraId="66923303">
            <w:pPr>
              <w:pStyle w:val="110"/>
              <w:ind w:firstLine="105" w:firstLineChars="50"/>
              <w:rPr>
                <w:rFonts w:ascii="仿宋_GB2312" w:hAnsi="仿宋_GB2312" w:eastAsia="仿宋_GB2312" w:cs="Times New Roman"/>
                <w:b/>
                <w:bCs/>
                <w:sz w:val="21"/>
                <w:szCs w:val="21"/>
                <w:lang w:eastAsia="zh-CN"/>
              </w:rPr>
            </w:pPr>
            <w:r>
              <w:rPr>
                <w:rFonts w:ascii="仿宋_GB2312" w:hAnsi="仿宋_GB2312" w:eastAsia="仿宋_GB2312" w:cs="仿宋_GB2312"/>
                <w:b/>
                <w:bCs/>
                <w:color w:val="FF0000"/>
                <w:sz w:val="21"/>
                <w:szCs w:val="21"/>
                <w:lang w:eastAsia="zh-CN"/>
              </w:rPr>
              <w:t>202</w:t>
            </w:r>
            <w:r>
              <w:rPr>
                <w:rFonts w:hint="eastAsia" w:ascii="仿宋_GB2312" w:hAnsi="仿宋_GB2312" w:eastAsia="仿宋_GB2312" w:cs="仿宋_GB2312"/>
                <w:b/>
                <w:bCs/>
                <w:color w:val="FF0000"/>
                <w:sz w:val="21"/>
                <w:szCs w:val="21"/>
                <w:u w:val="single"/>
                <w:lang w:val="en-US" w:eastAsia="zh-CN"/>
              </w:rPr>
              <w:t>4</w:t>
            </w:r>
            <w:r>
              <w:rPr>
                <w:rFonts w:hint="eastAsia" w:ascii="仿宋_GB2312" w:hAnsi="仿宋_GB2312" w:eastAsia="仿宋_GB2312" w:cs="仿宋_GB2312"/>
                <w:b/>
                <w:bCs/>
                <w:color w:val="FF0000"/>
                <w:sz w:val="21"/>
                <w:szCs w:val="21"/>
                <w:lang w:eastAsia="zh-CN"/>
              </w:rPr>
              <w:t>年</w:t>
            </w:r>
            <w:r>
              <w:rPr>
                <w:rFonts w:hint="eastAsia" w:ascii="仿宋_GB2312" w:hAnsi="仿宋_GB2312" w:eastAsia="仿宋_GB2312" w:cs="仿宋_GB2312"/>
                <w:b/>
                <w:bCs/>
                <w:color w:val="FF0000"/>
                <w:sz w:val="21"/>
                <w:szCs w:val="21"/>
                <w:u w:val="single"/>
                <w:lang w:val="en-US" w:eastAsia="zh-CN"/>
              </w:rPr>
              <w:t>12</w:t>
            </w:r>
            <w:r>
              <w:rPr>
                <w:rFonts w:hint="eastAsia" w:ascii="仿宋_GB2312" w:hAnsi="仿宋_GB2312" w:eastAsia="仿宋_GB2312" w:cs="仿宋_GB2312"/>
                <w:b/>
                <w:bCs/>
                <w:color w:val="FF0000"/>
                <w:sz w:val="21"/>
                <w:szCs w:val="21"/>
                <w:lang w:eastAsia="zh-CN"/>
              </w:rPr>
              <w:t>月</w:t>
            </w:r>
            <w:r>
              <w:rPr>
                <w:rFonts w:hint="eastAsia" w:ascii="仿宋_GB2312" w:hAnsi="仿宋_GB2312" w:eastAsia="仿宋_GB2312" w:cs="仿宋_GB2312"/>
                <w:b/>
                <w:bCs/>
                <w:color w:val="FF0000"/>
                <w:sz w:val="21"/>
                <w:szCs w:val="21"/>
                <w:u w:val="single"/>
                <w:lang w:val="en-US" w:eastAsia="zh-CN"/>
              </w:rPr>
              <w:t>23</w:t>
            </w:r>
            <w:r>
              <w:rPr>
                <w:rFonts w:hint="eastAsia" w:ascii="仿宋_GB2312" w:hAnsi="仿宋_GB2312" w:eastAsia="仿宋_GB2312" w:cs="仿宋_GB2312"/>
                <w:b/>
                <w:bCs/>
                <w:color w:val="FF0000"/>
                <w:sz w:val="21"/>
                <w:szCs w:val="21"/>
                <w:lang w:eastAsia="zh-CN"/>
              </w:rPr>
              <w:t>日</w:t>
            </w:r>
            <w:r>
              <w:rPr>
                <w:rFonts w:hint="eastAsia" w:ascii="仿宋_GB2312" w:hAnsi="仿宋_GB2312" w:eastAsia="仿宋_GB2312" w:cs="仿宋_GB2312"/>
                <w:b/>
                <w:bCs/>
                <w:color w:val="FF0000"/>
                <w:sz w:val="21"/>
                <w:szCs w:val="21"/>
                <w:lang w:val="en-US" w:eastAsia="zh-CN"/>
              </w:rPr>
              <w:t>下</w:t>
            </w:r>
            <w:r>
              <w:rPr>
                <w:rFonts w:hint="eastAsia" w:ascii="仿宋_GB2312" w:hAnsi="仿宋_GB2312" w:eastAsia="仿宋_GB2312" w:cs="仿宋_GB2312"/>
                <w:b/>
                <w:bCs/>
                <w:color w:val="FF0000"/>
                <w:sz w:val="21"/>
                <w:szCs w:val="21"/>
                <w:lang w:eastAsia="zh-CN"/>
              </w:rPr>
              <w:t>午</w:t>
            </w:r>
            <w:r>
              <w:rPr>
                <w:rFonts w:ascii="仿宋_GB2312" w:hAnsi="仿宋_GB2312" w:eastAsia="仿宋_GB2312" w:cs="仿宋_GB2312"/>
                <w:b/>
                <w:bCs/>
                <w:color w:val="FF0000"/>
                <w:sz w:val="21"/>
                <w:szCs w:val="21"/>
                <w:u w:val="single"/>
                <w:lang w:eastAsia="zh-CN"/>
              </w:rPr>
              <w:t xml:space="preserve"> </w:t>
            </w:r>
            <w:r>
              <w:rPr>
                <w:rFonts w:hint="eastAsia" w:ascii="仿宋_GB2312" w:hAnsi="仿宋_GB2312" w:eastAsia="仿宋_GB2312" w:cs="仿宋_GB2312"/>
                <w:b/>
                <w:bCs/>
                <w:color w:val="FF0000"/>
                <w:sz w:val="21"/>
                <w:szCs w:val="21"/>
                <w:u w:val="single"/>
                <w:lang w:val="en-US" w:eastAsia="zh-CN"/>
              </w:rPr>
              <w:t>15:00</w:t>
            </w:r>
            <w:r>
              <w:rPr>
                <w:rFonts w:ascii="仿宋_GB2312" w:hAnsi="仿宋_GB2312" w:eastAsia="仿宋_GB2312" w:cs="仿宋_GB2312"/>
                <w:b/>
                <w:bCs/>
                <w:color w:val="FF0000"/>
                <w:sz w:val="21"/>
                <w:szCs w:val="21"/>
                <w:u w:val="single"/>
                <w:lang w:eastAsia="zh-CN"/>
              </w:rPr>
              <w:t xml:space="preserve"> </w:t>
            </w:r>
            <w:r>
              <w:rPr>
                <w:rFonts w:hint="eastAsia" w:ascii="仿宋_GB2312" w:hAnsi="仿宋_GB2312" w:eastAsia="仿宋_GB2312" w:cs="仿宋_GB2312"/>
                <w:b/>
                <w:bCs/>
                <w:color w:val="FF0000"/>
                <w:sz w:val="21"/>
                <w:szCs w:val="21"/>
                <w:lang w:eastAsia="zh-CN"/>
              </w:rPr>
              <w:t>（北京时间）前；</w:t>
            </w:r>
            <w:r>
              <w:rPr>
                <w:rFonts w:hint="eastAsia" w:ascii="仿宋_GB2312" w:hAnsi="仿宋_GB2312" w:eastAsia="仿宋_GB2312" w:cs="仿宋_GB2312"/>
                <w:b/>
                <w:bCs/>
                <w:sz w:val="21"/>
                <w:szCs w:val="21"/>
                <w:lang w:eastAsia="zh-CN"/>
              </w:rPr>
              <w:t>逾期不予受理。</w:t>
            </w:r>
          </w:p>
        </w:tc>
      </w:tr>
      <w:tr w14:paraId="3C2611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42" w:hRule="exact"/>
          <w:jc w:val="center"/>
        </w:trPr>
        <w:tc>
          <w:tcPr>
            <w:tcW w:w="1012" w:type="dxa"/>
            <w:vAlign w:val="center"/>
          </w:tcPr>
          <w:p w14:paraId="15235653">
            <w:pPr>
              <w:pStyle w:val="110"/>
              <w:ind w:right="230"/>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15</w:t>
            </w:r>
          </w:p>
        </w:tc>
        <w:tc>
          <w:tcPr>
            <w:tcW w:w="1591" w:type="dxa"/>
            <w:vAlign w:val="center"/>
          </w:tcPr>
          <w:p w14:paraId="70DFBCFB">
            <w:pPr>
              <w:pStyle w:val="110"/>
              <w:ind w:left="52"/>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投标文件递交</w:t>
            </w:r>
          </w:p>
        </w:tc>
        <w:tc>
          <w:tcPr>
            <w:tcW w:w="7154" w:type="dxa"/>
            <w:vAlign w:val="center"/>
          </w:tcPr>
          <w:p w14:paraId="57B2678C">
            <w:pPr>
              <w:pStyle w:val="110"/>
              <w:ind w:firstLine="105" w:firstLineChars="50"/>
              <w:rPr>
                <w:rFonts w:ascii="仿宋_GB2312" w:hAnsi="仿宋_GB2312" w:eastAsia="仿宋_GB2312" w:cs="Times New Roman"/>
                <w:sz w:val="21"/>
                <w:szCs w:val="21"/>
                <w:lang w:eastAsia="zh-CN"/>
              </w:rPr>
            </w:pPr>
            <w:r>
              <w:rPr>
                <w:rFonts w:hint="eastAsia" w:ascii="仿宋_GB2312" w:hAnsi="仿宋_GB2312" w:eastAsia="仿宋_GB2312" w:cs="仿宋_GB2312"/>
                <w:sz w:val="21"/>
                <w:szCs w:val="21"/>
                <w:lang w:eastAsia="zh-CN"/>
              </w:rPr>
              <w:t>地点：同招标公告一致</w:t>
            </w:r>
          </w:p>
          <w:p w14:paraId="67307FCA">
            <w:pPr>
              <w:pStyle w:val="110"/>
              <w:ind w:firstLine="105" w:firstLineChars="50"/>
              <w:rPr>
                <w:rFonts w:ascii="仿宋_GB2312" w:hAnsi="仿宋_GB2312" w:eastAsia="仿宋_GB2312" w:cs="Times New Roman"/>
                <w:b/>
                <w:bCs/>
                <w:sz w:val="21"/>
                <w:szCs w:val="21"/>
                <w:lang w:eastAsia="zh-CN"/>
              </w:rPr>
            </w:pPr>
            <w:r>
              <w:rPr>
                <w:rFonts w:hint="eastAsia" w:ascii="仿宋_GB2312" w:hAnsi="仿宋_GB2312" w:eastAsia="仿宋_GB2312" w:cs="仿宋_GB2312"/>
                <w:sz w:val="21"/>
                <w:szCs w:val="21"/>
                <w:lang w:eastAsia="zh-CN"/>
              </w:rPr>
              <w:t>截止时间：同招标公告一致，逾期不予受理。</w:t>
            </w:r>
          </w:p>
        </w:tc>
      </w:tr>
      <w:tr w14:paraId="6AC7D3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exact"/>
          <w:jc w:val="center"/>
        </w:trPr>
        <w:tc>
          <w:tcPr>
            <w:tcW w:w="1012" w:type="dxa"/>
            <w:vAlign w:val="center"/>
          </w:tcPr>
          <w:p w14:paraId="70DEE874">
            <w:pPr>
              <w:pStyle w:val="110"/>
              <w:ind w:right="230"/>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16</w:t>
            </w:r>
          </w:p>
        </w:tc>
        <w:tc>
          <w:tcPr>
            <w:tcW w:w="1591" w:type="dxa"/>
            <w:vAlign w:val="center"/>
          </w:tcPr>
          <w:p w14:paraId="48130298">
            <w:pPr>
              <w:pStyle w:val="110"/>
              <w:ind w:left="33"/>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开标时间</w:t>
            </w:r>
          </w:p>
        </w:tc>
        <w:tc>
          <w:tcPr>
            <w:tcW w:w="7154" w:type="dxa"/>
            <w:vAlign w:val="center"/>
          </w:tcPr>
          <w:p w14:paraId="47DD3F06">
            <w:pPr>
              <w:pStyle w:val="110"/>
              <w:ind w:firstLine="211" w:firstLineChars="100"/>
              <w:rPr>
                <w:rFonts w:ascii="仿宋_GB2312" w:hAnsi="仿宋_GB2312" w:eastAsia="仿宋_GB2312" w:cs="Times New Roman"/>
                <w:sz w:val="21"/>
                <w:szCs w:val="21"/>
                <w:lang w:val="zh-CN" w:eastAsia="zh-CN"/>
              </w:rPr>
            </w:pPr>
            <w:r>
              <w:rPr>
                <w:rFonts w:ascii="仿宋_GB2312" w:hAnsi="仿宋_GB2312" w:eastAsia="仿宋_GB2312" w:cs="仿宋_GB2312"/>
                <w:b/>
                <w:bCs/>
                <w:color w:val="FF0000"/>
                <w:sz w:val="21"/>
                <w:szCs w:val="21"/>
                <w:lang w:eastAsia="zh-CN"/>
              </w:rPr>
              <w:t>202</w:t>
            </w:r>
            <w:r>
              <w:rPr>
                <w:rFonts w:hint="eastAsia" w:ascii="仿宋_GB2312" w:hAnsi="仿宋_GB2312" w:eastAsia="仿宋_GB2312" w:cs="仿宋_GB2312"/>
                <w:b/>
                <w:bCs/>
                <w:color w:val="FF0000"/>
                <w:sz w:val="21"/>
                <w:szCs w:val="21"/>
                <w:lang w:val="en-US" w:eastAsia="zh-CN"/>
              </w:rPr>
              <w:t>4</w:t>
            </w:r>
            <w:r>
              <w:rPr>
                <w:rFonts w:hint="eastAsia" w:ascii="仿宋_GB2312" w:hAnsi="仿宋_GB2312" w:eastAsia="仿宋_GB2312" w:cs="仿宋_GB2312"/>
                <w:b/>
                <w:bCs/>
                <w:color w:val="FF0000"/>
                <w:sz w:val="21"/>
                <w:szCs w:val="21"/>
                <w:lang w:eastAsia="zh-CN"/>
              </w:rPr>
              <w:t>年</w:t>
            </w:r>
            <w:r>
              <w:rPr>
                <w:rFonts w:ascii="仿宋_GB2312" w:hAnsi="仿宋_GB2312" w:eastAsia="仿宋_GB2312" w:cs="仿宋_GB2312"/>
                <w:b/>
                <w:bCs/>
                <w:color w:val="FF0000"/>
                <w:sz w:val="21"/>
                <w:szCs w:val="21"/>
                <w:u w:val="single"/>
                <w:lang w:eastAsia="zh-CN"/>
              </w:rPr>
              <w:t xml:space="preserve"> </w:t>
            </w:r>
            <w:r>
              <w:rPr>
                <w:rFonts w:hint="eastAsia" w:ascii="仿宋_GB2312" w:hAnsi="仿宋_GB2312" w:eastAsia="仿宋_GB2312" w:cs="仿宋_GB2312"/>
                <w:b/>
                <w:bCs/>
                <w:color w:val="FF0000"/>
                <w:sz w:val="21"/>
                <w:szCs w:val="21"/>
                <w:u w:val="single"/>
                <w:lang w:val="en-US" w:eastAsia="zh-CN"/>
              </w:rPr>
              <w:t>12</w:t>
            </w:r>
            <w:r>
              <w:rPr>
                <w:rFonts w:hint="eastAsia" w:ascii="仿宋_GB2312" w:hAnsi="仿宋_GB2312" w:eastAsia="仿宋_GB2312" w:cs="仿宋_GB2312"/>
                <w:b/>
                <w:bCs/>
                <w:color w:val="FF0000"/>
                <w:sz w:val="21"/>
                <w:szCs w:val="21"/>
                <w:lang w:eastAsia="zh-CN"/>
              </w:rPr>
              <w:t>月</w:t>
            </w:r>
            <w:r>
              <w:rPr>
                <w:rFonts w:ascii="仿宋_GB2312" w:hAnsi="仿宋_GB2312" w:eastAsia="仿宋_GB2312" w:cs="仿宋_GB2312"/>
                <w:b/>
                <w:bCs/>
                <w:color w:val="FF0000"/>
                <w:sz w:val="21"/>
                <w:szCs w:val="21"/>
                <w:u w:val="single"/>
                <w:lang w:eastAsia="zh-CN"/>
              </w:rPr>
              <w:t xml:space="preserve"> </w:t>
            </w:r>
            <w:r>
              <w:rPr>
                <w:rFonts w:hint="eastAsia" w:ascii="仿宋_GB2312" w:hAnsi="仿宋_GB2312" w:eastAsia="仿宋_GB2312" w:cs="仿宋_GB2312"/>
                <w:b/>
                <w:bCs/>
                <w:color w:val="FF0000"/>
                <w:sz w:val="21"/>
                <w:szCs w:val="21"/>
                <w:u w:val="single"/>
                <w:lang w:val="en-US" w:eastAsia="zh-CN"/>
              </w:rPr>
              <w:t>23</w:t>
            </w:r>
            <w:r>
              <w:rPr>
                <w:rFonts w:hint="eastAsia" w:ascii="仿宋_GB2312" w:hAnsi="仿宋_GB2312" w:eastAsia="仿宋_GB2312" w:cs="仿宋_GB2312"/>
                <w:b/>
                <w:bCs/>
                <w:color w:val="FF0000"/>
                <w:sz w:val="21"/>
                <w:szCs w:val="21"/>
                <w:lang w:eastAsia="zh-CN"/>
              </w:rPr>
              <w:t>日</w:t>
            </w:r>
            <w:r>
              <w:rPr>
                <w:rFonts w:hint="eastAsia" w:ascii="仿宋_GB2312" w:hAnsi="仿宋_GB2312" w:eastAsia="仿宋_GB2312" w:cs="仿宋_GB2312"/>
                <w:b/>
                <w:bCs/>
                <w:color w:val="FF0000"/>
                <w:sz w:val="21"/>
                <w:szCs w:val="21"/>
                <w:lang w:val="en-US" w:eastAsia="zh-CN"/>
              </w:rPr>
              <w:t>下</w:t>
            </w:r>
            <w:r>
              <w:rPr>
                <w:rFonts w:hint="eastAsia" w:ascii="仿宋_GB2312" w:hAnsi="仿宋_GB2312" w:eastAsia="仿宋_GB2312" w:cs="仿宋_GB2312"/>
                <w:b/>
                <w:bCs/>
                <w:color w:val="FF0000"/>
                <w:sz w:val="21"/>
                <w:szCs w:val="21"/>
                <w:lang w:eastAsia="zh-CN"/>
              </w:rPr>
              <w:t>午</w:t>
            </w:r>
            <w:r>
              <w:rPr>
                <w:rFonts w:ascii="仿宋_GB2312" w:hAnsi="仿宋_GB2312" w:eastAsia="仿宋_GB2312" w:cs="仿宋_GB2312"/>
                <w:b/>
                <w:bCs/>
                <w:color w:val="FF0000"/>
                <w:sz w:val="21"/>
                <w:szCs w:val="21"/>
                <w:u w:val="single"/>
                <w:lang w:eastAsia="zh-CN"/>
              </w:rPr>
              <w:t xml:space="preserve"> </w:t>
            </w:r>
            <w:r>
              <w:rPr>
                <w:rFonts w:hint="eastAsia" w:ascii="仿宋_GB2312" w:hAnsi="仿宋_GB2312" w:eastAsia="仿宋_GB2312" w:cs="仿宋_GB2312"/>
                <w:b/>
                <w:bCs/>
                <w:color w:val="FF0000"/>
                <w:sz w:val="21"/>
                <w:szCs w:val="21"/>
                <w:u w:val="single"/>
                <w:lang w:val="en-US" w:eastAsia="zh-CN"/>
              </w:rPr>
              <w:t>15:00</w:t>
            </w:r>
            <w:r>
              <w:rPr>
                <w:rFonts w:ascii="仿宋_GB2312" w:hAnsi="仿宋_GB2312" w:eastAsia="仿宋_GB2312" w:cs="仿宋_GB2312"/>
                <w:b/>
                <w:bCs/>
                <w:color w:val="FF0000"/>
                <w:sz w:val="21"/>
                <w:szCs w:val="21"/>
                <w:u w:val="single"/>
                <w:lang w:eastAsia="zh-CN"/>
              </w:rPr>
              <w:t xml:space="preserve"> </w:t>
            </w:r>
            <w:r>
              <w:rPr>
                <w:rFonts w:hint="eastAsia" w:ascii="仿宋_GB2312" w:hAnsi="仿宋_GB2312" w:eastAsia="仿宋_GB2312" w:cs="仿宋_GB2312"/>
                <w:b/>
                <w:bCs/>
                <w:sz w:val="21"/>
                <w:szCs w:val="21"/>
                <w:lang w:eastAsia="zh-CN"/>
              </w:rPr>
              <w:t>时（北京时间）。</w:t>
            </w:r>
          </w:p>
        </w:tc>
      </w:tr>
      <w:tr w14:paraId="08B9B3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5" w:hRule="exact"/>
          <w:jc w:val="center"/>
        </w:trPr>
        <w:tc>
          <w:tcPr>
            <w:tcW w:w="1012" w:type="dxa"/>
            <w:vAlign w:val="center"/>
          </w:tcPr>
          <w:p w14:paraId="33D0B921">
            <w:pPr>
              <w:pStyle w:val="110"/>
              <w:ind w:right="230"/>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17</w:t>
            </w:r>
          </w:p>
        </w:tc>
        <w:tc>
          <w:tcPr>
            <w:tcW w:w="1591" w:type="dxa"/>
            <w:vAlign w:val="center"/>
          </w:tcPr>
          <w:p w14:paraId="569BC2ED">
            <w:pPr>
              <w:pStyle w:val="110"/>
              <w:ind w:left="33"/>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开标地点</w:t>
            </w:r>
          </w:p>
        </w:tc>
        <w:tc>
          <w:tcPr>
            <w:tcW w:w="7154" w:type="dxa"/>
            <w:vAlign w:val="center"/>
          </w:tcPr>
          <w:p w14:paraId="405B6510">
            <w:pPr>
              <w:pStyle w:val="110"/>
              <w:ind w:firstLine="211" w:firstLineChars="100"/>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陇南市公共资源交易中心网络开标直播</w:t>
            </w:r>
            <w:r>
              <w:rPr>
                <w:rFonts w:hint="eastAsia" w:ascii="仿宋_GB2312" w:hAnsi="仿宋_GB2312" w:eastAsia="仿宋_GB2312" w:cs="仿宋_GB2312"/>
                <w:b/>
                <w:bCs/>
                <w:sz w:val="21"/>
                <w:szCs w:val="21"/>
                <w:u w:val="single"/>
                <w:lang w:val="en-US" w:eastAsia="zh-CN"/>
              </w:rPr>
              <w:t xml:space="preserve"> 二</w:t>
            </w:r>
            <w:r>
              <w:rPr>
                <w:rFonts w:hint="eastAsia" w:ascii="仿宋_GB2312" w:hAnsi="仿宋_GB2312" w:eastAsia="仿宋_GB2312" w:cs="仿宋_GB2312"/>
                <w:b/>
                <w:bCs/>
                <w:sz w:val="21"/>
                <w:szCs w:val="21"/>
                <w:lang w:val="zh-CN" w:eastAsia="zh-CN"/>
              </w:rPr>
              <w:t>厅第</w:t>
            </w:r>
            <w:r>
              <w:rPr>
                <w:rFonts w:hint="eastAsia" w:ascii="仿宋_GB2312" w:hAnsi="仿宋_GB2312" w:eastAsia="仿宋_GB2312" w:cs="仿宋_GB2312"/>
                <w:b/>
                <w:bCs/>
                <w:sz w:val="21"/>
                <w:szCs w:val="21"/>
                <w:u w:val="single"/>
                <w:lang w:val="en-US" w:eastAsia="zh-CN"/>
              </w:rPr>
              <w:t xml:space="preserve"> 1 </w:t>
            </w:r>
            <w:r>
              <w:rPr>
                <w:rFonts w:hint="eastAsia" w:ascii="仿宋_GB2312" w:hAnsi="仿宋_GB2312" w:eastAsia="仿宋_GB2312" w:cs="仿宋_GB2312"/>
                <w:b/>
                <w:bCs/>
                <w:sz w:val="21"/>
                <w:szCs w:val="21"/>
                <w:lang w:val="zh-CN" w:eastAsia="zh-CN"/>
              </w:rPr>
              <w:t xml:space="preserve">坐席（陇南市行政中心5号楼环保大厦） </w:t>
            </w:r>
          </w:p>
          <w:p w14:paraId="71AC826B">
            <w:pPr>
              <w:pStyle w:val="110"/>
              <w:ind w:firstLine="210" w:firstLineChars="100"/>
              <w:rPr>
                <w:rFonts w:ascii="仿宋_GB2312" w:hAnsi="仿宋_GB2312" w:eastAsia="仿宋_GB2312" w:cs="Times New Roman"/>
                <w:sz w:val="21"/>
                <w:szCs w:val="21"/>
                <w:lang w:val="zh-CN" w:eastAsia="zh-CN"/>
              </w:rPr>
            </w:pPr>
          </w:p>
        </w:tc>
      </w:tr>
      <w:tr w14:paraId="67141F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2" w:hRule="exact"/>
          <w:jc w:val="center"/>
        </w:trPr>
        <w:tc>
          <w:tcPr>
            <w:tcW w:w="1012" w:type="dxa"/>
            <w:vAlign w:val="center"/>
          </w:tcPr>
          <w:p w14:paraId="7E5E8B66">
            <w:pPr>
              <w:pStyle w:val="110"/>
              <w:ind w:right="230"/>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18</w:t>
            </w:r>
          </w:p>
        </w:tc>
        <w:tc>
          <w:tcPr>
            <w:tcW w:w="1591" w:type="dxa"/>
            <w:vAlign w:val="center"/>
          </w:tcPr>
          <w:p w14:paraId="5166E809">
            <w:pPr>
              <w:pStyle w:val="110"/>
              <w:ind w:left="33"/>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投标有效期</w:t>
            </w:r>
          </w:p>
        </w:tc>
        <w:tc>
          <w:tcPr>
            <w:tcW w:w="7154" w:type="dxa"/>
            <w:vAlign w:val="center"/>
          </w:tcPr>
          <w:p w14:paraId="068E4F66">
            <w:pPr>
              <w:pStyle w:val="110"/>
              <w:ind w:firstLine="210" w:firstLineChars="100"/>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从提交投标文件的截止之日起算</w:t>
            </w:r>
            <w:r>
              <w:rPr>
                <w:rFonts w:ascii="仿宋_GB2312" w:hAnsi="仿宋_GB2312" w:eastAsia="仿宋_GB2312" w:cs="仿宋_GB2312"/>
                <w:sz w:val="21"/>
                <w:szCs w:val="21"/>
                <w:lang w:eastAsia="zh-CN"/>
              </w:rPr>
              <w:t>60</w:t>
            </w:r>
            <w:r>
              <w:rPr>
                <w:rFonts w:hint="eastAsia" w:ascii="仿宋_GB2312" w:hAnsi="仿宋_GB2312" w:eastAsia="仿宋_GB2312" w:cs="仿宋_GB2312"/>
                <w:sz w:val="21"/>
                <w:szCs w:val="21"/>
                <w:lang w:eastAsia="zh-CN"/>
              </w:rPr>
              <w:t>天。</w:t>
            </w:r>
          </w:p>
        </w:tc>
      </w:tr>
      <w:tr w14:paraId="02FD22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4" w:hRule="exact"/>
          <w:jc w:val="center"/>
        </w:trPr>
        <w:tc>
          <w:tcPr>
            <w:tcW w:w="1012" w:type="dxa"/>
            <w:vAlign w:val="center"/>
          </w:tcPr>
          <w:p w14:paraId="6C994561">
            <w:pPr>
              <w:pStyle w:val="110"/>
              <w:ind w:right="230"/>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19</w:t>
            </w:r>
          </w:p>
        </w:tc>
        <w:tc>
          <w:tcPr>
            <w:tcW w:w="1591" w:type="dxa"/>
            <w:vAlign w:val="bottom"/>
          </w:tcPr>
          <w:p w14:paraId="1B890C0A">
            <w:pPr>
              <w:pStyle w:val="110"/>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交货和服务地点</w:t>
            </w:r>
          </w:p>
        </w:tc>
        <w:tc>
          <w:tcPr>
            <w:tcW w:w="7154" w:type="dxa"/>
            <w:vAlign w:val="center"/>
          </w:tcPr>
          <w:p w14:paraId="59403218">
            <w:pPr>
              <w:autoSpaceDE w:val="0"/>
              <w:autoSpaceDN w:val="0"/>
              <w:adjustRightInd w:val="0"/>
              <w:spacing w:line="551" w:lineRule="exact"/>
              <w:jc w:val="left"/>
              <w:rPr>
                <w:rFonts w:ascii="仿宋_GB2312" w:hAnsi="仿宋_GB2312" w:eastAsia="仿宋_GB2312"/>
                <w:lang w:val="zh-CN"/>
              </w:rPr>
            </w:pPr>
            <w:r>
              <w:rPr>
                <w:rFonts w:hint="eastAsia" w:ascii="仿宋_GB2312" w:hAnsi="仿宋_GB2312" w:eastAsia="仿宋_GB2312" w:cs="仿宋_GB2312"/>
                <w:lang w:val="zh-CN"/>
              </w:rPr>
              <w:t>地点：</w:t>
            </w:r>
            <w:r>
              <w:rPr>
                <w:rFonts w:hint="eastAsia" w:ascii="仿宋_GB2312" w:hAnsi="仿宋_GB2312" w:eastAsia="仿宋_GB2312" w:cs="仿宋_GB2312"/>
                <w:u w:val="single"/>
              </w:rPr>
              <w:t>采购单位</w:t>
            </w:r>
            <w:r>
              <w:rPr>
                <w:rFonts w:hint="eastAsia" w:ascii="仿宋_GB2312" w:hAnsi="仿宋_GB2312" w:eastAsia="仿宋_GB2312" w:cs="仿宋_GB2312"/>
                <w:lang w:val="zh-CN"/>
              </w:rPr>
              <w:t>指定地点。</w:t>
            </w:r>
          </w:p>
        </w:tc>
      </w:tr>
      <w:tr w14:paraId="66EF83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exact"/>
          <w:jc w:val="center"/>
        </w:trPr>
        <w:tc>
          <w:tcPr>
            <w:tcW w:w="1012" w:type="dxa"/>
            <w:vAlign w:val="center"/>
          </w:tcPr>
          <w:p w14:paraId="2E311B94">
            <w:pPr>
              <w:pStyle w:val="110"/>
              <w:keepNext w:val="0"/>
              <w:keepLines w:val="0"/>
              <w:pageBreakBefore w:val="0"/>
              <w:widowControl w:val="0"/>
              <w:kinsoku/>
              <w:wordWrap/>
              <w:overflowPunct/>
              <w:topLinePunct w:val="0"/>
              <w:autoSpaceDE w:val="0"/>
              <w:autoSpaceDN w:val="0"/>
              <w:bidi w:val="0"/>
              <w:adjustRightInd w:val="0"/>
              <w:snapToGrid/>
              <w:spacing w:after="0"/>
              <w:ind w:right="264"/>
              <w:jc w:val="center"/>
              <w:textAlignment w:val="auto"/>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20</w:t>
            </w:r>
          </w:p>
        </w:tc>
        <w:tc>
          <w:tcPr>
            <w:tcW w:w="1591" w:type="dxa"/>
            <w:vAlign w:val="center"/>
          </w:tcPr>
          <w:p w14:paraId="6CA4E6D8">
            <w:pPr>
              <w:pStyle w:val="110"/>
              <w:keepNext w:val="0"/>
              <w:keepLines w:val="0"/>
              <w:pageBreakBefore w:val="0"/>
              <w:widowControl w:val="0"/>
              <w:kinsoku/>
              <w:wordWrap/>
              <w:overflowPunct/>
              <w:topLinePunct w:val="0"/>
              <w:autoSpaceDE w:val="0"/>
              <w:autoSpaceDN w:val="0"/>
              <w:bidi w:val="0"/>
              <w:adjustRightInd w:val="0"/>
              <w:snapToGrid/>
              <w:spacing w:after="0"/>
              <w:ind w:left="33"/>
              <w:jc w:val="center"/>
              <w:textAlignment w:val="auto"/>
              <w:rPr>
                <w:rFonts w:ascii="仿宋_GB2312" w:hAnsi="仿宋_GB2312" w:eastAsia="仿宋_GB2312" w:cs="Times New Roman"/>
                <w:b/>
                <w:bCs/>
                <w:sz w:val="21"/>
                <w:szCs w:val="21"/>
                <w:lang w:val="zh-CN" w:eastAsia="zh-CN"/>
              </w:rPr>
            </w:pPr>
            <w:r>
              <w:rPr>
                <w:rFonts w:hint="eastAsia" w:ascii="仿宋_GB2312" w:hAnsi="仿宋_GB2312" w:eastAsia="仿宋_GB2312" w:cs="Times New Roman"/>
                <w:b/>
                <w:bCs/>
                <w:sz w:val="21"/>
                <w:szCs w:val="21"/>
                <w:lang w:val="zh-CN" w:eastAsia="zh-CN"/>
              </w:rPr>
              <w:t>建设工期</w:t>
            </w:r>
          </w:p>
        </w:tc>
        <w:tc>
          <w:tcPr>
            <w:tcW w:w="7154" w:type="dxa"/>
            <w:vAlign w:val="center"/>
          </w:tcPr>
          <w:p w14:paraId="794D3D04">
            <w:pPr>
              <w:pStyle w:val="110"/>
              <w:keepNext w:val="0"/>
              <w:keepLines w:val="0"/>
              <w:pageBreakBefore w:val="0"/>
              <w:widowControl w:val="0"/>
              <w:kinsoku/>
              <w:wordWrap/>
              <w:overflowPunct/>
              <w:topLinePunct w:val="0"/>
              <w:autoSpaceDE w:val="0"/>
              <w:autoSpaceDN w:val="0"/>
              <w:bidi w:val="0"/>
              <w:adjustRightInd w:val="0"/>
              <w:snapToGrid/>
              <w:spacing w:after="0"/>
              <w:ind w:left="33"/>
              <w:jc w:val="both"/>
              <w:textAlignment w:val="auto"/>
              <w:rPr>
                <w:rFonts w:ascii="仿宋_GB2312" w:hAnsi="仿宋_GB2312" w:eastAsia="仿宋_GB2312" w:cs="Times New Roman"/>
                <w:sz w:val="21"/>
                <w:szCs w:val="21"/>
                <w:lang w:eastAsia="zh-CN"/>
              </w:rPr>
            </w:pPr>
            <w:r>
              <w:rPr>
                <w:rFonts w:hint="eastAsia" w:ascii="仿宋_GB2312" w:hAnsi="仿宋_GB2312" w:eastAsia="仿宋_GB2312" w:cs="仿宋_GB2312"/>
                <w:b/>
                <w:bCs/>
                <w:sz w:val="21"/>
                <w:szCs w:val="21"/>
                <w:lang w:eastAsia="zh-CN"/>
              </w:rPr>
              <w:t>合同签订后</w:t>
            </w:r>
            <w:r>
              <w:rPr>
                <w:rFonts w:hint="eastAsia" w:ascii="仿宋_GB2312" w:hAnsi="仿宋_GB2312" w:eastAsia="仿宋_GB2312" w:cs="仿宋_GB2312"/>
                <w:b/>
                <w:bCs/>
                <w:sz w:val="21"/>
                <w:szCs w:val="21"/>
                <w:lang w:val="en-US" w:eastAsia="zh-CN"/>
              </w:rPr>
              <w:t>1</w:t>
            </w:r>
            <w:r>
              <w:rPr>
                <w:rFonts w:hint="eastAsia" w:ascii="仿宋_GB2312" w:hAnsi="仿宋_GB2312" w:eastAsia="仿宋_GB2312" w:cs="仿宋_GB2312"/>
                <w:b/>
                <w:bCs/>
                <w:sz w:val="21"/>
                <w:szCs w:val="21"/>
                <w:lang w:eastAsia="zh-CN"/>
              </w:rPr>
              <w:t>个月内完成产品正式上线运行。</w:t>
            </w:r>
          </w:p>
        </w:tc>
      </w:tr>
      <w:tr w14:paraId="4CF75E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2" w:type="dxa"/>
            <w:vAlign w:val="center"/>
          </w:tcPr>
          <w:p w14:paraId="5ED55600">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21</w:t>
            </w:r>
          </w:p>
        </w:tc>
        <w:tc>
          <w:tcPr>
            <w:tcW w:w="1591" w:type="dxa"/>
            <w:vAlign w:val="center"/>
          </w:tcPr>
          <w:p w14:paraId="081E92D0">
            <w:pPr>
              <w:spacing w:line="276" w:lineRule="auto"/>
              <w:jc w:val="center"/>
              <w:textAlignment w:val="baseline"/>
              <w:rPr>
                <w:rFonts w:ascii="仿宋_GB2312" w:hAnsi="仿宋_GB2312" w:eastAsia="仿宋_GB2312"/>
                <w:b/>
                <w:bCs/>
                <w:sz w:val="22"/>
                <w:szCs w:val="22"/>
              </w:rPr>
            </w:pPr>
            <w:r>
              <w:rPr>
                <w:rFonts w:hint="eastAsia" w:ascii="仿宋_GB2312" w:hAnsi="仿宋_GB2312" w:eastAsia="仿宋_GB2312" w:cs="仿宋_GB2312"/>
                <w:b/>
                <w:bCs/>
                <w:sz w:val="22"/>
                <w:szCs w:val="22"/>
              </w:rPr>
              <w:t>供应商资格</w:t>
            </w:r>
            <w:r>
              <w:rPr>
                <w:rFonts w:hint="eastAsia" w:ascii="仿宋_GB2312" w:hAnsi="仿宋_GB2312" w:eastAsia="仿宋_GB2312" w:cs="仿宋_GB2312"/>
                <w:b/>
                <w:bCs/>
                <w:kern w:val="0"/>
                <w:sz w:val="22"/>
                <w:szCs w:val="22"/>
              </w:rPr>
              <w:t>条件</w:t>
            </w:r>
          </w:p>
          <w:p w14:paraId="0C8667F8">
            <w:pPr>
              <w:pStyle w:val="110"/>
              <w:jc w:val="center"/>
              <w:rPr>
                <w:rFonts w:ascii="仿宋_GB2312" w:hAnsi="仿宋_GB2312" w:eastAsia="仿宋_GB2312" w:cs="Times New Roman"/>
                <w:b/>
                <w:bCs/>
                <w:sz w:val="20"/>
                <w:szCs w:val="20"/>
                <w:lang w:val="zh-CN" w:eastAsia="zh-CN"/>
              </w:rPr>
            </w:pPr>
          </w:p>
        </w:tc>
        <w:tc>
          <w:tcPr>
            <w:tcW w:w="7154" w:type="dxa"/>
            <w:vAlign w:val="center"/>
          </w:tcPr>
          <w:p w14:paraId="7437C933">
            <w:pPr>
              <w:spacing w:after="50" w:line="420" w:lineRule="exact"/>
              <w:ind w:firstLine="420" w:firstLineChars="200"/>
              <w:rPr>
                <w:rFonts w:ascii="仿宋_GB2312" w:hAnsi="仿宋_GB2312" w:eastAsia="仿宋_GB2312"/>
                <w:lang w:val="zh-CN"/>
              </w:rPr>
            </w:pPr>
            <w:r>
              <w:rPr>
                <w:rFonts w:ascii="仿宋_GB2312" w:hAnsi="仿宋_GB2312" w:eastAsia="仿宋_GB2312" w:cs="仿宋_GB2312"/>
                <w:lang w:val="zh-CN"/>
              </w:rPr>
              <w:t>1</w:t>
            </w:r>
            <w:r>
              <w:rPr>
                <w:rFonts w:hint="eastAsia" w:ascii="仿宋_GB2312" w:hAnsi="仿宋_GB2312" w:eastAsia="仿宋_GB2312" w:cs="仿宋_GB2312"/>
                <w:lang w:val="zh-CN"/>
              </w:rPr>
              <w:t>、必须符合《中华人民共和国政府采购法》第二十二条之规定，并提供《中华人民共和国政府采购法实施条例》第十七条所要求的材料。</w:t>
            </w:r>
          </w:p>
          <w:p w14:paraId="3EB4EDCB">
            <w:pPr>
              <w:spacing w:after="50" w:line="420" w:lineRule="exact"/>
              <w:ind w:firstLine="420" w:firstLineChars="200"/>
              <w:rPr>
                <w:rFonts w:ascii="仿宋_GB2312" w:hAnsi="仿宋_GB2312" w:eastAsia="仿宋_GB2312"/>
                <w:lang w:val="zh-CN"/>
              </w:rPr>
            </w:pPr>
            <w:r>
              <w:rPr>
                <w:rFonts w:ascii="仿宋_GB2312" w:hAnsi="仿宋_GB2312" w:eastAsia="仿宋_GB2312" w:cs="仿宋_GB2312"/>
              </w:rPr>
              <w:t>2</w:t>
            </w:r>
            <w:r>
              <w:rPr>
                <w:rFonts w:hint="eastAsia" w:ascii="仿宋_GB2312" w:hAnsi="仿宋_GB2312" w:eastAsia="仿宋_GB2312" w:cs="仿宋_GB2312"/>
                <w:lang w:val="zh-CN"/>
              </w:rPr>
              <w:t>、供应商未被列入“信用中国”网站</w:t>
            </w:r>
            <w:r>
              <w:rPr>
                <w:rFonts w:ascii="仿宋_GB2312" w:hAnsi="仿宋_GB2312" w:eastAsia="仿宋_GB2312" w:cs="仿宋_GB2312"/>
                <w:lang w:val="zh-CN"/>
              </w:rPr>
              <w:t>(www.creditchina.gov.cn)</w:t>
            </w:r>
            <w:r>
              <w:rPr>
                <w:rFonts w:hint="eastAsia" w:ascii="仿宋_GB2312" w:hAnsi="仿宋_GB2312" w:eastAsia="仿宋_GB2312" w:cs="仿宋_GB2312"/>
                <w:lang w:val="zh-CN"/>
              </w:rPr>
              <w:t>记录失信被执行人或重大税收违法案件当事人名单或政府采购严重违法失信行为记录名单；不处于中国政府采购网</w:t>
            </w:r>
            <w:r>
              <w:rPr>
                <w:rFonts w:ascii="仿宋_GB2312" w:hAnsi="仿宋_GB2312" w:eastAsia="仿宋_GB2312" w:cs="仿宋_GB2312"/>
                <w:lang w:val="zh-CN"/>
              </w:rPr>
              <w:t>(www.ccgp.gov.cn)</w:t>
            </w:r>
            <w:r>
              <w:rPr>
                <w:rFonts w:hint="eastAsia" w:ascii="仿宋_GB2312" w:hAnsi="仿宋_GB2312" w:eastAsia="仿宋_GB2312" w:cs="仿宋_GB2312"/>
                <w:lang w:val="zh-CN"/>
              </w:rPr>
              <w:t>政府采购严重违法失信行为信息记录中的禁止参加政府采购活动期间的方可参加本项目的投标；（以招标公告发布之日起至投标截止时间前在“信用中国”网站</w:t>
            </w:r>
            <w:r>
              <w:rPr>
                <w:rFonts w:ascii="仿宋_GB2312" w:hAnsi="仿宋_GB2312" w:eastAsia="仿宋_GB2312" w:cs="仿宋_GB2312"/>
                <w:lang w:val="zh-CN"/>
              </w:rPr>
              <w:t>[www.creditchina.gov.cn]</w:t>
            </w:r>
            <w:r>
              <w:rPr>
                <w:rFonts w:hint="eastAsia" w:ascii="仿宋_GB2312" w:hAnsi="仿宋_GB2312" w:eastAsia="仿宋_GB2312" w:cs="仿宋_GB2312"/>
                <w:lang w:val="zh-CN"/>
              </w:rPr>
              <w:t>、中国政府采购网</w:t>
            </w:r>
            <w:r>
              <w:rPr>
                <w:rFonts w:ascii="仿宋_GB2312" w:hAnsi="仿宋_GB2312" w:eastAsia="仿宋_GB2312" w:cs="仿宋_GB2312"/>
                <w:lang w:val="zh-CN"/>
              </w:rPr>
              <w:t>[www.ccgp.gov.cn]</w:t>
            </w:r>
            <w:r>
              <w:rPr>
                <w:rFonts w:hint="eastAsia" w:ascii="仿宋_GB2312" w:hAnsi="仿宋_GB2312" w:eastAsia="仿宋_GB2312" w:cs="仿宋_GB2312"/>
                <w:lang w:val="zh-CN"/>
              </w:rPr>
              <w:t>查询结果为准，如相关失信记录已失效，投标人需提供相关证明资料）。</w:t>
            </w:r>
          </w:p>
          <w:p w14:paraId="06E52EDD">
            <w:pPr>
              <w:spacing w:after="50" w:line="420" w:lineRule="exact"/>
              <w:ind w:firstLine="420" w:firstLineChars="200"/>
              <w:rPr>
                <w:rFonts w:ascii="仿宋_GB2312" w:hAnsi="仿宋_GB2312" w:eastAsia="仿宋_GB2312"/>
                <w:lang w:val="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val="zh-CN"/>
              </w:rPr>
              <w:t>、本项目不接受联合体投标。</w:t>
            </w:r>
          </w:p>
          <w:p w14:paraId="691F6CBD">
            <w:pPr>
              <w:pStyle w:val="110"/>
              <w:spacing w:line="360" w:lineRule="auto"/>
              <w:ind w:firstLine="442" w:firstLineChars="200"/>
              <w:rPr>
                <w:rFonts w:ascii="仿宋_GB2312" w:hAnsi="仿宋_GB2312" w:eastAsia="仿宋_GB2312" w:cs="Times New Roman"/>
                <w:sz w:val="22"/>
                <w:szCs w:val="22"/>
                <w:lang w:val="zh-CN" w:eastAsia="zh-CN"/>
              </w:rPr>
            </w:pPr>
            <w:r>
              <w:rPr>
                <w:rFonts w:hint="eastAsia" w:ascii="仿宋_GB2312" w:hAnsi="仿宋_GB2312" w:eastAsia="仿宋_GB2312" w:cs="仿宋_GB2312"/>
                <w:b/>
                <w:bCs/>
                <w:sz w:val="22"/>
                <w:szCs w:val="22"/>
                <w:lang w:eastAsia="zh-CN"/>
              </w:rPr>
              <w:t>注：以上所需资料均在电子投标文件中提供</w:t>
            </w:r>
            <w:r>
              <w:rPr>
                <w:rFonts w:ascii="仿宋_GB2312" w:hAnsi="仿宋_GB2312" w:eastAsia="仿宋_GB2312" w:cs="仿宋_GB2312"/>
                <w:b/>
                <w:bCs/>
                <w:sz w:val="22"/>
                <w:szCs w:val="22"/>
                <w:lang w:eastAsia="zh-CN"/>
              </w:rPr>
              <w:t>,</w:t>
            </w:r>
            <w:r>
              <w:rPr>
                <w:rFonts w:hint="eastAsia" w:ascii="仿宋_GB2312" w:hAnsi="仿宋_GB2312" w:eastAsia="仿宋_GB2312" w:cs="仿宋_GB2312"/>
                <w:b/>
                <w:bCs/>
                <w:sz w:val="22"/>
                <w:szCs w:val="22"/>
                <w:lang w:eastAsia="zh-CN"/>
              </w:rPr>
              <w:t>要求供应商提交的所有证明文件及材料必须清晰、准确、真实。其真实性自行负责。若发现有造假或不真实行为，将取消其投标人资格，并按照有关规定处理。</w:t>
            </w:r>
          </w:p>
        </w:tc>
      </w:tr>
      <w:tr w14:paraId="7A1E17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2" w:type="dxa"/>
            <w:vAlign w:val="center"/>
          </w:tcPr>
          <w:p w14:paraId="192DB235">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22</w:t>
            </w:r>
          </w:p>
        </w:tc>
        <w:tc>
          <w:tcPr>
            <w:tcW w:w="1591" w:type="dxa"/>
            <w:vAlign w:val="center"/>
          </w:tcPr>
          <w:p w14:paraId="37C5D70C">
            <w:pPr>
              <w:pStyle w:val="110"/>
              <w:ind w:left="235"/>
              <w:jc w:val="both"/>
              <w:rPr>
                <w:rFonts w:ascii="仿宋_GB2312" w:hAnsi="仿宋_GB2312" w:eastAsia="仿宋_GB2312" w:cs="Times New Roman"/>
                <w:b/>
                <w:bCs/>
                <w:sz w:val="22"/>
                <w:szCs w:val="22"/>
                <w:lang w:val="zh-CN" w:eastAsia="zh-CN"/>
              </w:rPr>
            </w:pPr>
            <w:r>
              <w:rPr>
                <w:rFonts w:hint="eastAsia" w:ascii="仿宋_GB2312" w:hAnsi="仿宋_GB2312" w:eastAsia="仿宋_GB2312" w:cs="仿宋_GB2312"/>
                <w:b/>
                <w:bCs/>
                <w:sz w:val="22"/>
                <w:szCs w:val="22"/>
                <w:lang w:val="zh-CN"/>
              </w:rPr>
              <w:t>分公司投标</w:t>
            </w:r>
          </w:p>
        </w:tc>
        <w:tc>
          <w:tcPr>
            <w:tcW w:w="7154" w:type="dxa"/>
            <w:vAlign w:val="center"/>
          </w:tcPr>
          <w:p w14:paraId="1614CEDB">
            <w:pPr>
              <w:pStyle w:val="110"/>
              <w:spacing w:line="360" w:lineRule="auto"/>
              <w:rPr>
                <w:rFonts w:ascii="仿宋_GB2312" w:hAnsi="仿宋_GB2312" w:eastAsia="仿宋_GB2312" w:cs="Times New Roman"/>
                <w:kern w:val="2"/>
                <w:sz w:val="22"/>
                <w:szCs w:val="22"/>
                <w:lang w:eastAsia="zh-CN"/>
              </w:rPr>
            </w:pPr>
            <w:r>
              <w:rPr>
                <w:rFonts w:ascii="仿宋_GB2312" w:hAnsi="仿宋_GB2312" w:eastAsia="仿宋_GB2312" w:cs="仿宋_GB2312"/>
                <w:kern w:val="2"/>
                <w:sz w:val="22"/>
                <w:szCs w:val="22"/>
                <w:lang w:eastAsia="zh-CN"/>
              </w:rPr>
              <w:t xml:space="preserve">    </w:t>
            </w:r>
            <w:r>
              <w:rPr>
                <w:rFonts w:hint="eastAsia" w:ascii="仿宋_GB2312" w:hAnsi="仿宋_GB2312" w:eastAsia="仿宋_GB2312" w:cs="仿宋_GB2312"/>
                <w:kern w:val="2"/>
                <w:sz w:val="22"/>
                <w:szCs w:val="22"/>
                <w:lang w:eastAsia="zh-CN"/>
              </w:rPr>
              <w:t>除银行、保险、电力、电信等特殊行业外，本项目不接受非独立法人单位分公司的投标</w:t>
            </w:r>
          </w:p>
        </w:tc>
      </w:tr>
      <w:tr w14:paraId="053500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8" w:hRule="exact"/>
          <w:jc w:val="center"/>
        </w:trPr>
        <w:tc>
          <w:tcPr>
            <w:tcW w:w="1012" w:type="dxa"/>
            <w:vAlign w:val="center"/>
          </w:tcPr>
          <w:p w14:paraId="16F6060A">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23</w:t>
            </w:r>
          </w:p>
        </w:tc>
        <w:tc>
          <w:tcPr>
            <w:tcW w:w="1591" w:type="dxa"/>
            <w:vAlign w:val="center"/>
          </w:tcPr>
          <w:p w14:paraId="5F32376B">
            <w:pPr>
              <w:pStyle w:val="110"/>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color w:val="121212"/>
                <w:sz w:val="20"/>
                <w:szCs w:val="20"/>
                <w:shd w:val="clear" w:color="auto" w:fill="FFFFFF"/>
                <w:lang w:val="en-US" w:eastAsia="zh-CN"/>
              </w:rPr>
              <w:t>是否中小企业预留</w:t>
            </w:r>
          </w:p>
        </w:tc>
        <w:tc>
          <w:tcPr>
            <w:tcW w:w="7154" w:type="dxa"/>
            <w:vAlign w:val="center"/>
          </w:tcPr>
          <w:p w14:paraId="00DB3B8A">
            <w:pPr>
              <w:spacing w:after="50" w:line="420" w:lineRule="exact"/>
              <w:rPr>
                <w:rFonts w:ascii="仿宋_GB2312" w:hAnsi="仿宋_GB2312" w:eastAsia="仿宋_GB2312"/>
              </w:rPr>
            </w:pPr>
            <w:r>
              <w:rPr>
                <w:rFonts w:hint="eastAsia" w:ascii="仿宋_GB2312" w:hAnsi="仿宋_GB2312" w:eastAsia="仿宋_GB2312" w:cs="仿宋_GB2312"/>
                <w:b/>
                <w:bCs/>
                <w:lang w:val="en-US" w:eastAsia="zh-CN"/>
              </w:rPr>
              <w:t>否</w:t>
            </w:r>
            <w:r>
              <w:rPr>
                <w:rFonts w:ascii="仿宋_GB2312" w:hAnsi="仿宋_GB2312" w:eastAsia="仿宋_GB2312" w:cs="仿宋_GB2312"/>
                <w:b/>
                <w:bCs/>
              </w:rPr>
              <w:t xml:space="preserve">   </w:t>
            </w:r>
          </w:p>
        </w:tc>
      </w:tr>
      <w:tr w14:paraId="310DA8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98" w:hRule="exact"/>
          <w:jc w:val="center"/>
        </w:trPr>
        <w:tc>
          <w:tcPr>
            <w:tcW w:w="1012" w:type="dxa"/>
            <w:vAlign w:val="center"/>
          </w:tcPr>
          <w:p w14:paraId="40CB9D57">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24</w:t>
            </w:r>
          </w:p>
        </w:tc>
        <w:tc>
          <w:tcPr>
            <w:tcW w:w="1591" w:type="dxa"/>
            <w:vAlign w:val="center"/>
          </w:tcPr>
          <w:p w14:paraId="0CB37DEC">
            <w:pPr>
              <w:pStyle w:val="110"/>
              <w:jc w:val="left"/>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中小企业扶持政策</w:t>
            </w:r>
          </w:p>
        </w:tc>
        <w:tc>
          <w:tcPr>
            <w:tcW w:w="7154" w:type="dxa"/>
            <w:vAlign w:val="center"/>
          </w:tcPr>
          <w:p w14:paraId="4FB6E74B">
            <w:pPr>
              <w:pStyle w:val="22"/>
              <w:adjustRightInd w:val="0"/>
              <w:snapToGrid w:val="0"/>
              <w:spacing w:beforeLines="50" w:line="360" w:lineRule="auto"/>
              <w:ind w:firstLine="420" w:firstLineChars="200"/>
              <w:jc w:val="left"/>
              <w:rPr>
                <w:rFonts w:hint="eastAsia" w:ascii="仿宋_GB2312" w:hAnsi="仿宋_GB2312" w:eastAsia="仿宋_GB2312" w:cs="Times New Roman"/>
              </w:rPr>
            </w:pPr>
            <w:r>
              <w:rPr>
                <w:rFonts w:hint="eastAsia" w:ascii="仿宋_GB2312" w:hAnsi="仿宋_GB2312" w:eastAsia="仿宋_GB2312" w:cs="Times New Roman"/>
              </w:rPr>
              <w:t>1.根据工业和信息化部、国家统计局、国家发展和改革委员会、财政部等部委发布的《关于印发中小企业划型标准规定的通知》（工信部联企业〔2011〕300号），按照本次采购标的所属行业的划型标准，符合条件的中小微企业应按照招标文件格式要求提供《中小企业声明函》。</w:t>
            </w:r>
          </w:p>
          <w:p w14:paraId="3B2944CA">
            <w:pPr>
              <w:pStyle w:val="22"/>
              <w:adjustRightInd w:val="0"/>
              <w:snapToGrid w:val="0"/>
              <w:spacing w:beforeLines="50" w:line="360" w:lineRule="auto"/>
              <w:jc w:val="left"/>
              <w:rPr>
                <w:rFonts w:hint="eastAsia" w:ascii="仿宋_GB2312" w:hAnsi="仿宋_GB2312" w:eastAsia="仿宋_GB2312" w:cs="Times New Roman"/>
              </w:rPr>
            </w:pPr>
            <w:r>
              <w:rPr>
                <w:rFonts w:hint="eastAsia" w:ascii="仿宋_GB2312" w:hAnsi="仿宋_GB2312" w:eastAsia="仿宋_GB2312" w:cs="Times New Roman"/>
              </w:rPr>
              <w:t xml:space="preserve">    2.根据财政部、工业和信息化部发布的《政府采购促进中小企业发展管理办法》（财库〔2020〕46号）和财政部《关于进一步加大政府采购支持中小企业力度的通知》（财库〔2022〕19号）规定，对小型和微型企业产品的投标价格给予</w:t>
            </w:r>
            <w:r>
              <w:rPr>
                <w:rFonts w:hint="eastAsia" w:ascii="仿宋_GB2312" w:hAnsi="仿宋_GB2312" w:eastAsia="仿宋_GB2312" w:cs="Times New Roman"/>
                <w:highlight w:val="yellow"/>
                <w:lang w:val="en-US" w:eastAsia="zh-CN"/>
              </w:rPr>
              <w:t>10</w:t>
            </w:r>
            <w:r>
              <w:rPr>
                <w:rFonts w:hint="eastAsia" w:ascii="仿宋_GB2312" w:hAnsi="仿宋_GB2312" w:eastAsia="仿宋_GB2312" w:cs="Times New Roman"/>
                <w:highlight w:val="yellow"/>
              </w:rPr>
              <w:t>%</w:t>
            </w:r>
            <w:r>
              <w:rPr>
                <w:rFonts w:hint="eastAsia" w:ascii="仿宋_GB2312" w:hAnsi="仿宋_GB2312" w:eastAsia="仿宋_GB2312" w:cs="Times New Roman"/>
              </w:rPr>
              <w:t xml:space="preserve"> 的扣除，用扣除后的价格参与评审。</w:t>
            </w:r>
          </w:p>
          <w:p w14:paraId="49A955F1">
            <w:pPr>
              <w:pStyle w:val="22"/>
              <w:adjustRightInd w:val="0"/>
              <w:snapToGrid w:val="0"/>
              <w:spacing w:beforeLines="50" w:line="360" w:lineRule="auto"/>
              <w:jc w:val="left"/>
              <w:rPr>
                <w:rFonts w:hint="eastAsia" w:ascii="仿宋_GB2312" w:hAnsi="仿宋_GB2312" w:eastAsia="仿宋_GB2312" w:cs="Times New Roman"/>
              </w:rPr>
            </w:pPr>
            <w:r>
              <w:rPr>
                <w:rFonts w:hint="eastAsia" w:ascii="仿宋_GB2312" w:hAnsi="仿宋_GB2312" w:eastAsia="仿宋_GB2312" w:cs="Times New Roman"/>
              </w:rPr>
              <w:t xml:space="preserve">    3.投标人提供的货物由中小企业生产且使用该中小企业商号或者注册商标的，享受中小企业扶持政策。供应商提供的货物既有中小企业制造的货物，也有大型企业制造的货物的，不享受中小企业扶持政策。</w:t>
            </w:r>
          </w:p>
          <w:p w14:paraId="1BF8FF00">
            <w:pPr>
              <w:pStyle w:val="22"/>
              <w:adjustRightInd w:val="0"/>
              <w:snapToGrid w:val="0"/>
              <w:spacing w:beforeLines="50" w:line="360" w:lineRule="auto"/>
              <w:jc w:val="left"/>
              <w:rPr>
                <w:rFonts w:hint="eastAsia" w:ascii="仿宋_GB2312" w:hAnsi="仿宋_GB2312" w:eastAsia="仿宋_GB2312" w:cs="Times New Roman"/>
              </w:rPr>
            </w:pPr>
            <w:r>
              <w:rPr>
                <w:rFonts w:hint="eastAsia" w:ascii="仿宋_GB2312" w:hAnsi="仿宋_GB2312" w:eastAsia="仿宋_GB2312" w:cs="Times New Roman"/>
              </w:rPr>
              <w:t xml:space="preserve">    </w:t>
            </w:r>
            <w:r>
              <w:rPr>
                <w:rFonts w:hint="eastAsia" w:ascii="仿宋_GB2312" w:hAnsi="仿宋_GB2312" w:eastAsia="仿宋_GB2312" w:cs="Times New Roman"/>
                <w:lang w:val="en-US" w:eastAsia="zh-CN"/>
              </w:rPr>
              <w:t>4</w:t>
            </w:r>
            <w:r>
              <w:rPr>
                <w:rFonts w:hint="eastAsia" w:ascii="仿宋_GB2312" w:hAnsi="仿宋_GB2312" w:eastAsia="仿宋_GB2312" w:cs="Times New Roman"/>
              </w:rPr>
              <w:t>.提供由省级以上监狱管理局、戒毒管理局（含新疆生产建设兵团）出具的属于监狱企业证明文件（原件彩色扫描件）的，视同为小型和微型企业。</w:t>
            </w:r>
          </w:p>
          <w:p w14:paraId="4FD0D999">
            <w:pPr>
              <w:pStyle w:val="22"/>
              <w:adjustRightInd w:val="0"/>
              <w:snapToGrid w:val="0"/>
              <w:spacing w:beforeLines="50" w:line="360" w:lineRule="auto"/>
              <w:jc w:val="left"/>
              <w:rPr>
                <w:rFonts w:ascii="仿宋_GB2312" w:hAnsi="仿宋_GB2312" w:eastAsia="仿宋_GB2312" w:cs="Times New Roman"/>
              </w:rPr>
            </w:pPr>
            <w:r>
              <w:rPr>
                <w:rFonts w:hint="eastAsia" w:ascii="仿宋_GB2312" w:hAnsi="仿宋_GB2312" w:eastAsia="仿宋_GB2312" w:cs="Times New Roman"/>
              </w:rPr>
              <w:t xml:space="preserve">    </w:t>
            </w:r>
            <w:r>
              <w:rPr>
                <w:rFonts w:hint="eastAsia" w:ascii="仿宋_GB2312" w:hAnsi="仿宋_GB2312" w:eastAsia="仿宋_GB2312" w:cs="Times New Roman"/>
                <w:lang w:val="en-US" w:eastAsia="zh-CN"/>
              </w:rPr>
              <w:t>5</w:t>
            </w:r>
            <w:r>
              <w:rPr>
                <w:rFonts w:hint="eastAsia" w:ascii="仿宋_GB2312" w:hAnsi="仿宋_GB2312" w:eastAsia="仿宋_GB2312" w:cs="Times New Roman"/>
              </w:rPr>
              <w:t>.符合享受政府采购支持政策的残疾人福利性单位条件且提供《残疾人福利性单位声明函》的，视同为小型和微型企业。</w:t>
            </w:r>
          </w:p>
        </w:tc>
      </w:tr>
      <w:tr w14:paraId="025756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5" w:hRule="exact"/>
          <w:jc w:val="center"/>
        </w:trPr>
        <w:tc>
          <w:tcPr>
            <w:tcW w:w="1012" w:type="dxa"/>
            <w:vAlign w:val="center"/>
          </w:tcPr>
          <w:p w14:paraId="322AABB8">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25</w:t>
            </w:r>
          </w:p>
        </w:tc>
        <w:tc>
          <w:tcPr>
            <w:tcW w:w="1591" w:type="dxa"/>
            <w:vAlign w:val="center"/>
          </w:tcPr>
          <w:p w14:paraId="2849AF74">
            <w:pPr>
              <w:pStyle w:val="110"/>
              <w:ind w:left="33"/>
              <w:jc w:val="center"/>
              <w:rPr>
                <w:rFonts w:hint="default" w:ascii="仿宋_GB2312" w:hAnsi="仿宋_GB2312" w:eastAsia="仿宋_GB2312" w:cs="Times New Roman"/>
                <w:b/>
                <w:bCs/>
                <w:sz w:val="21"/>
                <w:szCs w:val="21"/>
                <w:lang w:val="en-US" w:eastAsia="zh-CN"/>
              </w:rPr>
            </w:pPr>
            <w:r>
              <w:rPr>
                <w:rFonts w:hint="eastAsia" w:ascii="仿宋_GB2312" w:hAnsi="仿宋_GB2312" w:eastAsia="仿宋_GB2312" w:cs="仿宋_GB2312"/>
                <w:b/>
                <w:bCs/>
                <w:sz w:val="18"/>
                <w:szCs w:val="18"/>
                <w:lang w:val="en-US" w:eastAsia="zh-CN"/>
              </w:rPr>
              <w:t>本项目不存在</w:t>
            </w:r>
          </w:p>
        </w:tc>
        <w:tc>
          <w:tcPr>
            <w:tcW w:w="7154" w:type="dxa"/>
            <w:vAlign w:val="center"/>
          </w:tcPr>
          <w:p w14:paraId="47E21648">
            <w:pPr>
              <w:widowControl/>
              <w:ind w:firstLine="361" w:firstLineChars="200"/>
              <w:jc w:val="left"/>
              <w:rPr>
                <w:rFonts w:ascii="仿宋_GB2312" w:hAnsi="仿宋_GB2312" w:eastAsia="仿宋_GB2312"/>
                <w:b/>
                <w:bCs/>
                <w:color w:val="000000"/>
                <w:kern w:val="0"/>
                <w:sz w:val="24"/>
                <w:szCs w:val="24"/>
              </w:rPr>
            </w:pPr>
            <w:r>
              <w:rPr>
                <w:rFonts w:hint="eastAsia" w:ascii="仿宋_GB2312" w:hAnsi="仿宋_GB2312" w:eastAsia="仿宋_GB2312" w:cs="仿宋_GB2312"/>
                <w:b/>
                <w:bCs/>
                <w:sz w:val="18"/>
                <w:szCs w:val="18"/>
                <w:lang w:val="zh-CN" w:eastAsia="zh-CN"/>
              </w:rPr>
              <w:t>是否存在以注册资本金、资产总额、营业收入、从业人员、</w:t>
            </w:r>
            <w:r>
              <w:rPr>
                <w:rFonts w:hint="eastAsia" w:ascii="仿宋_GB2312" w:hAnsi="仿宋_GB2312" w:eastAsia="仿宋_GB2312" w:cs="仿宋_GB2312"/>
                <w:b/>
                <w:bCs/>
                <w:sz w:val="18"/>
                <w:szCs w:val="18"/>
                <w:lang w:eastAsia="zh-CN"/>
              </w:rPr>
              <w:t>利润、纳税额</w:t>
            </w:r>
            <w:r>
              <w:rPr>
                <w:rFonts w:hint="eastAsia" w:ascii="仿宋_GB2312" w:hAnsi="仿宋_GB2312" w:eastAsia="仿宋_GB2312" w:cs="仿宋_GB2312"/>
                <w:b/>
                <w:bCs/>
                <w:sz w:val="18"/>
                <w:szCs w:val="18"/>
                <w:lang w:val="zh-CN" w:eastAsia="zh-CN"/>
              </w:rPr>
              <w:t>等规模条件</w:t>
            </w:r>
            <w:r>
              <w:rPr>
                <w:rFonts w:hint="eastAsia" w:ascii="仿宋_GB2312" w:hAnsi="仿宋_GB2312" w:eastAsia="仿宋_GB2312" w:cs="仿宋_GB2312"/>
                <w:b/>
                <w:bCs/>
                <w:sz w:val="18"/>
                <w:szCs w:val="18"/>
                <w:lang w:eastAsia="zh-CN"/>
              </w:rPr>
              <w:t>和股权结构、经营年限等方面</w:t>
            </w:r>
            <w:r>
              <w:rPr>
                <w:rFonts w:hint="eastAsia" w:ascii="仿宋_GB2312" w:hAnsi="仿宋_GB2312" w:eastAsia="仿宋_GB2312" w:cs="仿宋_GB2312"/>
                <w:b/>
                <w:bCs/>
                <w:sz w:val="18"/>
                <w:szCs w:val="18"/>
                <w:lang w:val="zh-CN" w:eastAsia="zh-CN"/>
              </w:rPr>
              <w:t>对中小企业实行差别待遇或歧视待遇的情况</w:t>
            </w:r>
          </w:p>
        </w:tc>
      </w:tr>
      <w:tr w14:paraId="59F225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7" w:hRule="exact"/>
          <w:jc w:val="center"/>
        </w:trPr>
        <w:tc>
          <w:tcPr>
            <w:tcW w:w="1012" w:type="dxa"/>
            <w:vAlign w:val="center"/>
          </w:tcPr>
          <w:p w14:paraId="292774E0">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26</w:t>
            </w:r>
          </w:p>
        </w:tc>
        <w:tc>
          <w:tcPr>
            <w:tcW w:w="1591" w:type="dxa"/>
            <w:vAlign w:val="center"/>
          </w:tcPr>
          <w:p w14:paraId="79289162">
            <w:pPr>
              <w:pStyle w:val="110"/>
              <w:ind w:left="33"/>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投标保证金</w:t>
            </w:r>
          </w:p>
        </w:tc>
        <w:tc>
          <w:tcPr>
            <w:tcW w:w="7154" w:type="dxa"/>
            <w:vAlign w:val="center"/>
          </w:tcPr>
          <w:p w14:paraId="455DA071">
            <w:pPr>
              <w:widowControl/>
              <w:jc w:val="left"/>
              <w:rPr>
                <w:rFonts w:ascii="仿宋_GB2312" w:hAnsi="仿宋_GB2312" w:eastAsia="仿宋_GB2312"/>
                <w:lang w:val="zh-CN"/>
              </w:rPr>
            </w:pPr>
            <w:r>
              <w:rPr>
                <w:rFonts w:hint="eastAsia" w:ascii="仿宋_GB2312" w:hAnsi="仿宋_GB2312" w:eastAsia="仿宋_GB2312" w:cs="仿宋_GB2312"/>
                <w:b/>
                <w:bCs/>
                <w:color w:val="000000"/>
                <w:kern w:val="0"/>
                <w:sz w:val="24"/>
                <w:szCs w:val="24"/>
              </w:rPr>
              <w:t>根据《甘肃省财政厅关于进一步加大政府采购支持中小企业力度的通知》（甘财采〔</w:t>
            </w:r>
            <w:r>
              <w:rPr>
                <w:rFonts w:ascii="仿宋_GB2312" w:hAnsi="仿宋_GB2312" w:eastAsia="仿宋_GB2312" w:cs="仿宋_GB2312"/>
                <w:b/>
                <w:bCs/>
                <w:color w:val="000000"/>
                <w:kern w:val="0"/>
                <w:sz w:val="24"/>
                <w:szCs w:val="24"/>
              </w:rPr>
              <w:t>2022</w:t>
            </w:r>
            <w:r>
              <w:rPr>
                <w:rFonts w:hint="eastAsia" w:ascii="仿宋_GB2312" w:hAnsi="仿宋_GB2312" w:eastAsia="仿宋_GB2312" w:cs="仿宋_GB2312"/>
                <w:b/>
                <w:bCs/>
                <w:color w:val="000000"/>
                <w:kern w:val="0"/>
                <w:sz w:val="24"/>
                <w:szCs w:val="24"/>
              </w:rPr>
              <w:t>〕</w:t>
            </w:r>
            <w:r>
              <w:rPr>
                <w:rFonts w:ascii="仿宋_GB2312" w:hAnsi="仿宋_GB2312" w:eastAsia="仿宋_GB2312" w:cs="仿宋_GB2312"/>
                <w:b/>
                <w:bCs/>
                <w:color w:val="000000"/>
                <w:kern w:val="0"/>
                <w:sz w:val="24"/>
                <w:szCs w:val="24"/>
              </w:rPr>
              <w:t>16</w:t>
            </w:r>
            <w:r>
              <w:rPr>
                <w:rFonts w:hint="eastAsia" w:ascii="仿宋_GB2312" w:hAnsi="仿宋_GB2312" w:eastAsia="仿宋_GB2312" w:cs="仿宋_GB2312"/>
                <w:b/>
                <w:bCs/>
                <w:color w:val="000000"/>
                <w:kern w:val="0"/>
                <w:sz w:val="24"/>
                <w:szCs w:val="24"/>
              </w:rPr>
              <w:t>号），本项目不收取投标保证金。</w:t>
            </w:r>
          </w:p>
        </w:tc>
      </w:tr>
      <w:tr w14:paraId="4D893B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6" w:hRule="exact"/>
          <w:jc w:val="center"/>
        </w:trPr>
        <w:tc>
          <w:tcPr>
            <w:tcW w:w="1012" w:type="dxa"/>
            <w:vAlign w:val="center"/>
          </w:tcPr>
          <w:p w14:paraId="6113BC89">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27</w:t>
            </w:r>
          </w:p>
        </w:tc>
        <w:tc>
          <w:tcPr>
            <w:tcW w:w="1591" w:type="dxa"/>
            <w:vAlign w:val="center"/>
          </w:tcPr>
          <w:p w14:paraId="0F1B4DF0">
            <w:pPr>
              <w:pStyle w:val="110"/>
              <w:jc w:val="left"/>
              <w:rPr>
                <w:rFonts w:ascii="仿宋_GB2312" w:hAnsi="仿宋_GB2312" w:eastAsia="仿宋_GB2312" w:cs="Times New Roman"/>
                <w:b/>
                <w:bCs/>
                <w:color w:val="121212"/>
                <w:sz w:val="22"/>
                <w:szCs w:val="22"/>
                <w:shd w:val="clear" w:color="auto" w:fill="FFFFFF"/>
                <w:lang w:val="zh-CN" w:eastAsia="zh-CN"/>
              </w:rPr>
            </w:pPr>
            <w:r>
              <w:rPr>
                <w:rFonts w:hint="eastAsia" w:ascii="仿宋_GB2312" w:hAnsi="仿宋_GB2312" w:eastAsia="仿宋_GB2312" w:cs="仿宋_GB2312"/>
                <w:b/>
                <w:bCs/>
                <w:kern w:val="2"/>
                <w:sz w:val="22"/>
                <w:szCs w:val="22"/>
                <w:lang w:eastAsia="zh-CN"/>
              </w:rPr>
              <w:t>采购标的对应的中小企业划分标准所属行业</w:t>
            </w:r>
          </w:p>
        </w:tc>
        <w:tc>
          <w:tcPr>
            <w:tcW w:w="7154" w:type="dxa"/>
            <w:vAlign w:val="center"/>
          </w:tcPr>
          <w:p w14:paraId="7E069ACA">
            <w:pPr>
              <w:pStyle w:val="110"/>
              <w:ind w:left="210" w:leftChars="100"/>
              <w:rPr>
                <w:rFonts w:ascii="仿宋_GB2312" w:hAnsi="仿宋_GB2312" w:eastAsia="仿宋_GB2312" w:cs="Times New Roman"/>
                <w:kern w:val="2"/>
                <w:highlight w:val="yellow"/>
                <w:lang w:eastAsia="zh-CN"/>
              </w:rPr>
            </w:pPr>
            <w:r>
              <w:rPr>
                <w:rFonts w:hint="eastAsia" w:ascii="仿宋_GB2312" w:hAnsi="仿宋_GB2312" w:eastAsia="仿宋_GB2312" w:cs="仿宋_GB2312"/>
                <w:kern w:val="2"/>
                <w:highlight w:val="yellow"/>
                <w:lang w:eastAsia="zh-CN"/>
              </w:rPr>
              <w:t>软件和信息技术服务业。</w:t>
            </w:r>
          </w:p>
          <w:p w14:paraId="11381C8F">
            <w:pPr>
              <w:pStyle w:val="110"/>
              <w:ind w:left="210" w:leftChars="100"/>
              <w:rPr>
                <w:rFonts w:ascii="仿宋_GB2312" w:hAnsi="仿宋_GB2312" w:eastAsia="仿宋_GB2312" w:cs="Times New Roman"/>
                <w:kern w:val="2"/>
                <w:highlight w:val="none"/>
                <w:lang w:eastAsia="zh-CN"/>
              </w:rPr>
            </w:pPr>
            <w:r>
              <w:rPr>
                <w:rFonts w:hint="eastAsia" w:ascii="仿宋_GB2312" w:hAnsi="仿宋_GB2312" w:eastAsia="仿宋_GB2312" w:cs="仿宋_GB2312"/>
                <w:b/>
                <w:bCs/>
                <w:sz w:val="20"/>
                <w:szCs w:val="20"/>
                <w:highlight w:val="none"/>
                <w:lang w:eastAsia="zh-CN"/>
              </w:rPr>
              <w:t>注：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B7A71D">
            <w:pPr>
              <w:pStyle w:val="22"/>
              <w:adjustRightInd w:val="0"/>
              <w:snapToGrid w:val="0"/>
              <w:spacing w:beforeLines="50" w:line="360" w:lineRule="auto"/>
              <w:ind w:firstLine="221" w:firstLineChars="100"/>
              <w:jc w:val="left"/>
              <w:rPr>
                <w:rFonts w:ascii="仿宋_GB2312" w:hAnsi="仿宋_GB2312" w:eastAsia="仿宋_GB2312" w:cs="Times New Roman"/>
                <w:b/>
                <w:bCs/>
                <w:sz w:val="22"/>
                <w:szCs w:val="22"/>
              </w:rPr>
            </w:pPr>
          </w:p>
        </w:tc>
      </w:tr>
      <w:tr w14:paraId="6C6AC3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48" w:hRule="exact"/>
          <w:jc w:val="center"/>
        </w:trPr>
        <w:tc>
          <w:tcPr>
            <w:tcW w:w="1012" w:type="dxa"/>
            <w:vAlign w:val="center"/>
          </w:tcPr>
          <w:p w14:paraId="45343B15">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28</w:t>
            </w:r>
          </w:p>
        </w:tc>
        <w:tc>
          <w:tcPr>
            <w:tcW w:w="1591" w:type="dxa"/>
            <w:vAlign w:val="center"/>
          </w:tcPr>
          <w:p w14:paraId="5973A118">
            <w:pPr>
              <w:pStyle w:val="110"/>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投标文件递交及有关事项说明</w:t>
            </w:r>
          </w:p>
        </w:tc>
        <w:tc>
          <w:tcPr>
            <w:tcW w:w="7154" w:type="dxa"/>
            <w:vAlign w:val="center"/>
          </w:tcPr>
          <w:p w14:paraId="21F2C7C6">
            <w:pPr>
              <w:pStyle w:val="110"/>
              <w:ind w:firstLine="211" w:firstLineChars="100"/>
              <w:rPr>
                <w:rFonts w:ascii="仿宋_GB2312" w:hAnsi="仿宋_GB2312" w:eastAsia="仿宋_GB2312" w:cs="Times New Roman"/>
                <w:b/>
                <w:bCs/>
                <w:sz w:val="21"/>
                <w:szCs w:val="21"/>
                <w:lang w:eastAsia="zh-CN"/>
              </w:rPr>
            </w:pPr>
            <w:r>
              <w:rPr>
                <w:rFonts w:ascii="仿宋_GB2312" w:hAnsi="仿宋_GB2312" w:eastAsia="仿宋_GB2312" w:cs="仿宋_GB2312"/>
                <w:b/>
                <w:bCs/>
                <w:sz w:val="21"/>
                <w:szCs w:val="21"/>
                <w:lang w:eastAsia="zh-CN"/>
              </w:rPr>
              <w:t>1</w:t>
            </w:r>
            <w:r>
              <w:rPr>
                <w:rFonts w:hint="eastAsia" w:ascii="仿宋_GB2312" w:hAnsi="仿宋_GB2312" w:eastAsia="仿宋_GB2312" w:cs="仿宋_GB2312"/>
                <w:b/>
                <w:bCs/>
                <w:sz w:val="21"/>
                <w:szCs w:val="21"/>
                <w:lang w:eastAsia="zh-CN"/>
              </w:rPr>
              <w:t>、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w:t>
            </w:r>
            <w:r>
              <w:rPr>
                <w:rFonts w:ascii="仿宋_GB2312" w:hAnsi="仿宋_GB2312" w:eastAsia="仿宋_GB2312" w:cs="仿宋_GB2312"/>
                <w:b/>
                <w:bCs/>
                <w:sz w:val="21"/>
                <w:szCs w:val="21"/>
                <w:lang w:eastAsia="zh-CN"/>
              </w:rPr>
              <w:t>CA</w:t>
            </w:r>
            <w:r>
              <w:rPr>
                <w:rFonts w:hint="eastAsia" w:ascii="仿宋_GB2312" w:hAnsi="仿宋_GB2312" w:eastAsia="仿宋_GB2312" w:cs="仿宋_GB2312"/>
                <w:b/>
                <w:bCs/>
                <w:sz w:val="21"/>
                <w:szCs w:val="21"/>
                <w:lang w:eastAsia="zh-CN"/>
              </w:rPr>
              <w:t>进行所有操作。若在开标时间前没有网上投标（上传投标文件）则视为放弃投标。</w:t>
            </w:r>
          </w:p>
          <w:p w14:paraId="222A32CD">
            <w:pPr>
              <w:widowControl/>
              <w:ind w:firstLine="211" w:firstLineChars="100"/>
              <w:jc w:val="left"/>
              <w:rPr>
                <w:rFonts w:ascii="仿宋_GB2312" w:hAnsi="仿宋_GB2312" w:eastAsia="仿宋_GB2312"/>
                <w:b/>
                <w:bCs/>
                <w:color w:val="000000"/>
                <w:kern w:val="0"/>
              </w:rPr>
            </w:pPr>
            <w:r>
              <w:rPr>
                <w:rFonts w:ascii="仿宋_GB2312" w:hAnsi="仿宋_GB2312" w:eastAsia="仿宋_GB2312" w:cs="仿宋_GB2312"/>
                <w:b/>
                <w:bCs/>
              </w:rPr>
              <w:t>2</w:t>
            </w:r>
            <w:r>
              <w:rPr>
                <w:rFonts w:hint="eastAsia" w:ascii="仿宋_GB2312" w:hAnsi="仿宋_GB2312" w:eastAsia="仿宋_GB2312" w:cs="仿宋_GB2312"/>
                <w:b/>
                <w:bCs/>
              </w:rPr>
              <w:t>、</w:t>
            </w:r>
            <w:r>
              <w:rPr>
                <w:rFonts w:hint="eastAsia" w:ascii="仿宋_GB2312" w:hAnsi="仿宋_GB2312" w:eastAsia="仿宋_GB2312" w:cs="仿宋_GB2312"/>
                <w:b/>
                <w:bCs/>
                <w:color w:val="000000"/>
                <w:kern w:val="0"/>
              </w:rPr>
              <w:t>投标人需在开标时间截止前在不见面开标大厅进行签到，开标后，因未按要求签到而造成的相关操作和流程无法正常进行的相关责任，其投标人自行负责。</w:t>
            </w:r>
          </w:p>
          <w:p w14:paraId="391FCE5F">
            <w:pPr>
              <w:widowControl/>
              <w:ind w:left="632" w:leftChars="100" w:hanging="422" w:hangingChars="200"/>
              <w:jc w:val="left"/>
              <w:rPr>
                <w:rFonts w:ascii="仿宋_GB2312" w:hAnsi="仿宋_GB2312" w:eastAsia="仿宋_GB2312"/>
                <w:b/>
                <w:bCs/>
                <w:color w:val="FF0000"/>
                <w:kern w:val="0"/>
              </w:rPr>
            </w:pPr>
            <w:r>
              <w:rPr>
                <w:rFonts w:ascii="仿宋_GB2312" w:hAnsi="仿宋_GB2312" w:eastAsia="仿宋_GB2312" w:cs="仿宋_GB2312"/>
                <w:b/>
                <w:bCs/>
                <w:color w:val="FF0000"/>
                <w:kern w:val="0"/>
              </w:rPr>
              <w:t>3</w:t>
            </w:r>
            <w:r>
              <w:rPr>
                <w:rFonts w:hint="eastAsia" w:ascii="仿宋_GB2312" w:hAnsi="仿宋_GB2312" w:eastAsia="仿宋_GB2312" w:cs="仿宋_GB2312"/>
                <w:b/>
                <w:bCs/>
                <w:color w:val="FF0000"/>
                <w:kern w:val="0"/>
              </w:rPr>
              <w:t>、为确保开标活动顺利进行，开标之后投标单位需要在</w:t>
            </w:r>
            <w:r>
              <w:rPr>
                <w:rFonts w:hint="eastAsia" w:ascii="仿宋_GB2312" w:hAnsi="仿宋_GB2312" w:eastAsia="仿宋_GB2312" w:cs="仿宋_GB2312"/>
                <w:b/>
                <w:bCs/>
                <w:color w:val="FF0000"/>
                <w:kern w:val="0"/>
                <w:u w:val="single"/>
                <w:lang w:val="en-US" w:eastAsia="zh-CN"/>
              </w:rPr>
              <w:t>2024</w:t>
            </w:r>
            <w:r>
              <w:rPr>
                <w:rFonts w:hint="eastAsia" w:ascii="仿宋_GB2312" w:hAnsi="仿宋_GB2312" w:eastAsia="仿宋_GB2312" w:cs="仿宋_GB2312"/>
                <w:b/>
                <w:bCs/>
                <w:color w:val="FF0000"/>
                <w:kern w:val="0"/>
              </w:rPr>
              <w:t>年</w:t>
            </w:r>
            <w:r>
              <w:rPr>
                <w:rFonts w:hint="eastAsia" w:ascii="仿宋_GB2312" w:hAnsi="仿宋_GB2312" w:eastAsia="仿宋_GB2312" w:cs="仿宋_GB2312"/>
                <w:b/>
                <w:bCs/>
                <w:color w:val="FF0000"/>
                <w:kern w:val="0"/>
                <w:u w:val="single"/>
                <w:lang w:val="en-US" w:eastAsia="zh-CN"/>
              </w:rPr>
              <w:t xml:space="preserve"> 12 </w:t>
            </w:r>
            <w:r>
              <w:rPr>
                <w:rFonts w:hint="eastAsia" w:ascii="仿宋_GB2312" w:hAnsi="仿宋_GB2312" w:eastAsia="仿宋_GB2312" w:cs="仿宋_GB2312"/>
                <w:b/>
                <w:bCs/>
                <w:color w:val="FF0000"/>
                <w:kern w:val="0"/>
              </w:rPr>
              <w:t>月</w:t>
            </w:r>
            <w:r>
              <w:rPr>
                <w:rFonts w:hint="eastAsia" w:ascii="仿宋_GB2312" w:hAnsi="仿宋_GB2312" w:eastAsia="仿宋_GB2312" w:cs="仿宋_GB2312"/>
                <w:b/>
                <w:bCs/>
                <w:color w:val="FF0000"/>
                <w:kern w:val="0"/>
                <w:u w:val="single"/>
                <w:lang w:val="en-US" w:eastAsia="zh-CN"/>
              </w:rPr>
              <w:t>23</w:t>
            </w:r>
            <w:r>
              <w:rPr>
                <w:rFonts w:hint="eastAsia" w:ascii="仿宋_GB2312" w:hAnsi="仿宋_GB2312" w:eastAsia="仿宋_GB2312" w:cs="仿宋_GB2312"/>
                <w:b/>
                <w:bCs/>
                <w:color w:val="FF0000"/>
                <w:kern w:val="0"/>
              </w:rPr>
              <w:t>日</w:t>
            </w:r>
            <w:r>
              <w:rPr>
                <w:rFonts w:hint="eastAsia" w:ascii="仿宋_GB2312" w:hAnsi="仿宋_GB2312" w:eastAsia="仿宋_GB2312" w:cs="仿宋_GB2312"/>
                <w:b/>
                <w:bCs/>
                <w:color w:val="FF0000"/>
                <w:kern w:val="0"/>
                <w:u w:val="single"/>
                <w:lang w:val="en-US" w:eastAsia="zh-CN"/>
              </w:rPr>
              <w:t xml:space="preserve"> 15:30</w:t>
            </w:r>
            <w:r>
              <w:rPr>
                <w:rFonts w:hint="eastAsia" w:ascii="仿宋_GB2312" w:hAnsi="仿宋_GB2312" w:eastAsia="仿宋_GB2312" w:cs="仿宋_GB2312"/>
                <w:b/>
                <w:bCs/>
                <w:color w:val="FF0000"/>
                <w:kern w:val="0"/>
                <w:u w:val="none"/>
                <w:lang w:val="en-US" w:eastAsia="zh-CN"/>
              </w:rPr>
              <w:t>时</w:t>
            </w:r>
            <w:r>
              <w:rPr>
                <w:rFonts w:hint="eastAsia" w:ascii="仿宋_GB2312" w:hAnsi="仿宋_GB2312" w:eastAsia="仿宋_GB2312" w:cs="仿宋_GB2312"/>
                <w:b/>
                <w:bCs/>
                <w:color w:val="FF0000"/>
                <w:kern w:val="0"/>
                <w:u w:val="none"/>
              </w:rPr>
              <w:t>前解</w:t>
            </w:r>
            <w:r>
              <w:rPr>
                <w:rFonts w:hint="eastAsia" w:ascii="仿宋_GB2312" w:hAnsi="仿宋_GB2312" w:eastAsia="仿宋_GB2312" w:cs="仿宋_GB2312"/>
                <w:b/>
                <w:bCs/>
                <w:color w:val="FF0000"/>
                <w:kern w:val="0"/>
              </w:rPr>
              <w:t>密投标文件，因投标人原因造成投标文件未解密的，视为撤销其投标文件。</w:t>
            </w:r>
          </w:p>
          <w:p w14:paraId="0E423A28">
            <w:pPr>
              <w:widowControl/>
              <w:jc w:val="left"/>
              <w:rPr>
                <w:rFonts w:hint="eastAsia" w:ascii="仿宋_GB2312" w:hAnsi="仿宋_GB2312" w:eastAsia="仿宋_GB2312" w:cs="Times New Roman"/>
                <w:sz w:val="21"/>
                <w:szCs w:val="21"/>
                <w:lang w:val="zh-CN" w:eastAsia="zh-CN"/>
              </w:rPr>
            </w:pPr>
            <w:r>
              <w:rPr>
                <w:rFonts w:ascii="仿宋_GB2312" w:hAnsi="仿宋_GB2312" w:eastAsia="仿宋_GB2312" w:cs="仿宋_GB2312"/>
                <w:b/>
                <w:bCs/>
                <w:color w:val="FF0000"/>
                <w:kern w:val="0"/>
              </w:rPr>
              <w:t xml:space="preserve"> </w:t>
            </w:r>
            <w:r>
              <w:rPr>
                <w:rFonts w:hint="eastAsia" w:ascii="仿宋_GB2312" w:hAnsi="仿宋_GB2312" w:eastAsia="仿宋_GB2312" w:cs="仿宋_GB2312"/>
                <w:b/>
                <w:bCs/>
                <w:color w:val="FF0000"/>
                <w:kern w:val="0"/>
                <w:lang w:val="en-US" w:eastAsia="zh-CN"/>
              </w:rPr>
              <w:t xml:space="preserve">  </w:t>
            </w:r>
            <w:r>
              <w:rPr>
                <w:rFonts w:hint="eastAsia" w:ascii="仿宋_GB2312" w:hAnsi="仿宋_GB2312" w:eastAsia="仿宋_GB2312" w:cs="仿宋_GB2312"/>
                <w:b/>
                <w:bCs/>
                <w:color w:val="FF0000"/>
                <w:kern w:val="0"/>
              </w:rPr>
              <w:t>注：开始开标前检查自己开标设备网络稳定性，如有中途退出等问题，导致无法解密责任自行承担</w:t>
            </w:r>
            <w:r>
              <w:rPr>
                <w:rFonts w:hint="eastAsia" w:ascii="仿宋_GB2312" w:hAnsi="仿宋_GB2312" w:eastAsia="仿宋_GB2312" w:cs="仿宋_GB2312"/>
                <w:b/>
                <w:bCs/>
                <w:color w:val="FF0000"/>
                <w:kern w:val="0"/>
                <w:lang w:eastAsia="zh-CN"/>
              </w:rPr>
              <w:t>。</w:t>
            </w:r>
          </w:p>
        </w:tc>
      </w:tr>
      <w:tr w14:paraId="0802C7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1012" w:type="dxa"/>
            <w:vAlign w:val="center"/>
          </w:tcPr>
          <w:p w14:paraId="62873FF2">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29</w:t>
            </w:r>
          </w:p>
        </w:tc>
        <w:tc>
          <w:tcPr>
            <w:tcW w:w="1591" w:type="dxa"/>
            <w:vAlign w:val="bottom"/>
          </w:tcPr>
          <w:p w14:paraId="2645AA73">
            <w:pPr>
              <w:pStyle w:val="110"/>
              <w:ind w:firstLine="211" w:firstLineChars="100"/>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履约保证金</w:t>
            </w:r>
          </w:p>
        </w:tc>
        <w:tc>
          <w:tcPr>
            <w:tcW w:w="7154" w:type="dxa"/>
            <w:vAlign w:val="center"/>
          </w:tcPr>
          <w:p w14:paraId="0BCB51B2">
            <w:pPr>
              <w:ind w:firstLine="422" w:firstLineChars="200"/>
              <w:rPr>
                <w:rFonts w:ascii="仿宋_GB2312" w:hAnsi="仿宋_GB2312" w:eastAsia="仿宋_GB2312"/>
                <w:b/>
                <w:bCs/>
                <w:kern w:val="0"/>
                <w:lang w:val="zh-CN"/>
              </w:rPr>
            </w:pPr>
            <w:r>
              <w:rPr>
                <w:rFonts w:hint="eastAsia" w:ascii="仿宋_GB2312" w:hAnsi="仿宋_GB2312" w:eastAsia="仿宋_GB2312" w:cs="仿宋_GB2312"/>
                <w:b/>
                <w:bCs/>
                <w:kern w:val="0"/>
              </w:rPr>
              <w:t>鼓励取消或减免履约保证金。确</w:t>
            </w:r>
            <w:r>
              <w:rPr>
                <w:rFonts w:hint="eastAsia" w:ascii="仿宋_GB2312" w:hAnsi="仿宋_GB2312" w:eastAsia="仿宋_GB2312" w:cs="仿宋_GB2312"/>
                <w:b/>
                <w:bCs/>
                <w:kern w:val="0"/>
                <w:lang w:val="zh-CN"/>
              </w:rPr>
              <w:t>须</w:t>
            </w:r>
            <w:r>
              <w:rPr>
                <w:rFonts w:hint="eastAsia" w:ascii="仿宋_GB2312" w:hAnsi="仿宋_GB2312" w:eastAsia="仿宋_GB2312" w:cs="仿宋_GB2312"/>
                <w:b/>
                <w:bCs/>
                <w:kern w:val="0"/>
              </w:rPr>
              <w:t>收取</w:t>
            </w:r>
            <w:r>
              <w:rPr>
                <w:rFonts w:hint="eastAsia" w:ascii="仿宋_GB2312" w:hAnsi="仿宋_GB2312" w:eastAsia="仿宋_GB2312" w:cs="仿宋_GB2312"/>
                <w:b/>
                <w:bCs/>
                <w:kern w:val="0"/>
                <w:lang w:val="zh-CN"/>
              </w:rPr>
              <w:t>履约保证金的</w:t>
            </w:r>
            <w:r>
              <w:rPr>
                <w:rFonts w:hint="eastAsia" w:ascii="仿宋_GB2312" w:hAnsi="仿宋_GB2312" w:eastAsia="仿宋_GB2312" w:cs="仿宋_GB2312"/>
                <w:b/>
                <w:bCs/>
                <w:kern w:val="0"/>
              </w:rPr>
              <w:t>，</w:t>
            </w:r>
            <w:r>
              <w:rPr>
                <w:rFonts w:hint="eastAsia" w:ascii="仿宋_GB2312" w:hAnsi="仿宋_GB2312" w:eastAsia="仿宋_GB2312" w:cs="仿宋_GB2312"/>
                <w:b/>
                <w:bCs/>
                <w:kern w:val="0"/>
                <w:lang w:val="zh-CN"/>
              </w:rPr>
              <w:t>合同签订前，</w:t>
            </w:r>
            <w:r>
              <w:rPr>
                <w:rFonts w:hint="eastAsia" w:ascii="仿宋_GB2312" w:hAnsi="仿宋_GB2312" w:eastAsia="仿宋_GB2312" w:cs="仿宋_GB2312"/>
                <w:b/>
                <w:bCs/>
                <w:kern w:val="0"/>
              </w:rPr>
              <w:t>以银行保函方式收取</w:t>
            </w:r>
            <w:r>
              <w:rPr>
                <w:rFonts w:hint="eastAsia" w:ascii="仿宋_GB2312" w:hAnsi="仿宋_GB2312" w:eastAsia="仿宋_GB2312" w:cs="仿宋_GB2312"/>
                <w:b/>
                <w:bCs/>
                <w:kern w:val="0"/>
                <w:lang w:val="zh-CN"/>
              </w:rPr>
              <w:t>。</w:t>
            </w:r>
          </w:p>
          <w:p w14:paraId="27B65817">
            <w:pPr>
              <w:spacing w:line="340" w:lineRule="exact"/>
              <w:ind w:right="105" w:rightChars="50"/>
              <w:rPr>
                <w:rFonts w:ascii="仿宋_GB2312" w:hAnsi="仿宋_GB2312" w:eastAsia="仿宋_GB2312"/>
                <w:kern w:val="0"/>
                <w:lang w:val="zh-CN"/>
              </w:rPr>
            </w:pPr>
          </w:p>
        </w:tc>
      </w:tr>
      <w:tr w14:paraId="446FE4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6" w:hRule="atLeast"/>
          <w:jc w:val="center"/>
        </w:trPr>
        <w:tc>
          <w:tcPr>
            <w:tcW w:w="1012" w:type="dxa"/>
            <w:vAlign w:val="center"/>
          </w:tcPr>
          <w:p w14:paraId="66530717">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30</w:t>
            </w:r>
          </w:p>
        </w:tc>
        <w:tc>
          <w:tcPr>
            <w:tcW w:w="1591" w:type="dxa"/>
            <w:vAlign w:val="bottom"/>
          </w:tcPr>
          <w:p w14:paraId="1743AB21">
            <w:pPr>
              <w:pStyle w:val="110"/>
              <w:ind w:right="28"/>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备选投标方案和报价</w:t>
            </w:r>
          </w:p>
        </w:tc>
        <w:tc>
          <w:tcPr>
            <w:tcW w:w="7154" w:type="dxa"/>
            <w:vAlign w:val="center"/>
          </w:tcPr>
          <w:p w14:paraId="43BFED73">
            <w:pPr>
              <w:pStyle w:val="110"/>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不接受备选投标方案和多个报价，否则按无效投标处理。</w:t>
            </w:r>
          </w:p>
        </w:tc>
      </w:tr>
      <w:tr w14:paraId="5B9DBE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4" w:hRule="atLeast"/>
          <w:jc w:val="center"/>
        </w:trPr>
        <w:tc>
          <w:tcPr>
            <w:tcW w:w="1012" w:type="dxa"/>
            <w:vAlign w:val="center"/>
          </w:tcPr>
          <w:p w14:paraId="4777B761">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31</w:t>
            </w:r>
          </w:p>
        </w:tc>
        <w:tc>
          <w:tcPr>
            <w:tcW w:w="1591" w:type="dxa"/>
            <w:vAlign w:val="center"/>
          </w:tcPr>
          <w:p w14:paraId="6D590F3C">
            <w:pPr>
              <w:pStyle w:val="110"/>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电子投标文件的</w:t>
            </w:r>
          </w:p>
          <w:p w14:paraId="582A85A8">
            <w:pPr>
              <w:pStyle w:val="110"/>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签署、盖章</w:t>
            </w:r>
          </w:p>
        </w:tc>
        <w:tc>
          <w:tcPr>
            <w:tcW w:w="7154" w:type="dxa"/>
            <w:vAlign w:val="center"/>
          </w:tcPr>
          <w:p w14:paraId="3DEA50B5">
            <w:pPr>
              <w:pStyle w:val="110"/>
              <w:rPr>
                <w:rFonts w:ascii="仿宋_GB2312" w:hAnsi="仿宋_GB2312" w:eastAsia="仿宋_GB2312" w:cs="Times New Roman"/>
                <w:sz w:val="21"/>
                <w:szCs w:val="21"/>
                <w:lang w:val="zh-CN" w:eastAsia="zh-CN"/>
              </w:rPr>
            </w:pPr>
            <w:r>
              <w:rPr>
                <w:rFonts w:hint="eastAsia" w:ascii="仿宋_GB2312" w:hAnsi="仿宋_GB2312" w:eastAsia="仿宋_GB2312" w:cs="仿宋_GB2312"/>
                <w:sz w:val="22"/>
                <w:szCs w:val="22"/>
                <w:lang w:eastAsia="zh-CN"/>
              </w:rPr>
              <w:t>投标人在投标文件及相关文件的签订、履行、通知等事项的书面文件中的单位盖章、印章、公章等处均仅指与当事人名称全称相一致的标准公章或具有法定效力的电子签章，不得使用其它形式（如带有“专用章”等字样的印章）。投标人的法定代表人或授权代表签字或盖章等处仅指与法定代表人或者授权代表名称相一致的签名或盖具有法定效力的个人印鉴或签字章或电子章，不符合本条规定的投标将被拒绝。</w:t>
            </w:r>
          </w:p>
        </w:tc>
      </w:tr>
      <w:tr w14:paraId="286BF66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4" w:hRule="atLeast"/>
          <w:jc w:val="center"/>
        </w:trPr>
        <w:tc>
          <w:tcPr>
            <w:tcW w:w="1012" w:type="dxa"/>
            <w:tcBorders>
              <w:top w:val="single" w:color="auto" w:sz="4" w:space="0"/>
              <w:bottom w:val="single" w:color="auto" w:sz="4" w:space="0"/>
            </w:tcBorders>
            <w:vAlign w:val="center"/>
          </w:tcPr>
          <w:p w14:paraId="75FFD33B">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32</w:t>
            </w:r>
          </w:p>
        </w:tc>
        <w:tc>
          <w:tcPr>
            <w:tcW w:w="1591" w:type="dxa"/>
            <w:tcBorders>
              <w:top w:val="single" w:color="auto" w:sz="4" w:space="0"/>
              <w:bottom w:val="single" w:color="auto" w:sz="4" w:space="0"/>
            </w:tcBorders>
            <w:vAlign w:val="center"/>
          </w:tcPr>
          <w:p w14:paraId="2027A338">
            <w:pPr>
              <w:pStyle w:val="110"/>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2"/>
                <w:szCs w:val="22"/>
                <w:lang w:eastAsia="zh-CN"/>
              </w:rPr>
              <w:t>代理费用的收取标准和方式</w:t>
            </w:r>
          </w:p>
        </w:tc>
        <w:tc>
          <w:tcPr>
            <w:tcW w:w="7154" w:type="dxa"/>
            <w:tcBorders>
              <w:top w:val="single" w:color="auto" w:sz="4" w:space="0"/>
              <w:bottom w:val="single" w:color="auto" w:sz="4" w:space="0"/>
            </w:tcBorders>
            <w:vAlign w:val="center"/>
          </w:tcPr>
          <w:p w14:paraId="3F8A8499">
            <w:pPr>
              <w:tabs>
                <w:tab w:val="left" w:pos="420"/>
                <w:tab w:val="left" w:pos="7560"/>
                <w:tab w:val="left" w:pos="7740"/>
                <w:tab w:val="left" w:pos="7920"/>
              </w:tabs>
              <w:adjustRightInd w:val="0"/>
              <w:snapToGrid w:val="0"/>
              <w:spacing w:line="360" w:lineRule="auto"/>
              <w:rPr>
                <w:rFonts w:hint="eastAsia" w:ascii="仿宋_GB2312" w:hAnsi="仿宋_GB2312" w:eastAsia="仿宋_GB2312" w:cs="仿宋_GB2312"/>
                <w:kern w:val="0"/>
                <w:sz w:val="22"/>
                <w:szCs w:val="22"/>
                <w:lang w:eastAsia="zh-CN"/>
              </w:rPr>
            </w:pPr>
          </w:p>
          <w:p w14:paraId="339839EA">
            <w:pPr>
              <w:tabs>
                <w:tab w:val="left" w:pos="420"/>
                <w:tab w:val="left" w:pos="7560"/>
                <w:tab w:val="left" w:pos="7740"/>
                <w:tab w:val="left" w:pos="7920"/>
              </w:tabs>
              <w:adjustRightInd w:val="0"/>
              <w:snapToGrid w:val="0"/>
              <w:spacing w:line="360" w:lineRule="auto"/>
              <w:rPr>
                <w:rFonts w:hint="eastAsia" w:ascii="仿宋_GB2312" w:hAnsi="仿宋_GB2312" w:eastAsia="仿宋_GB2312"/>
                <w:kern w:val="0"/>
                <w:sz w:val="22"/>
                <w:szCs w:val="22"/>
                <w:lang w:eastAsia="zh-CN"/>
              </w:rPr>
            </w:pPr>
            <w:r>
              <w:rPr>
                <w:rFonts w:hint="eastAsia" w:ascii="仿宋_GB2312" w:hAnsi="仿宋_GB2312" w:eastAsia="仿宋_GB2312" w:cs="仿宋_GB2312"/>
                <w:kern w:val="0"/>
                <w:sz w:val="22"/>
                <w:szCs w:val="22"/>
                <w:lang w:eastAsia="zh-CN"/>
              </w:rPr>
              <w:t>集中采购代理机构</w:t>
            </w:r>
            <w:r>
              <w:rPr>
                <w:rFonts w:hint="eastAsia" w:ascii="仿宋_GB2312" w:hAnsi="仿宋_GB2312" w:eastAsia="仿宋_GB2312" w:cs="仿宋_GB2312"/>
                <w:kern w:val="0"/>
                <w:sz w:val="22"/>
                <w:szCs w:val="22"/>
              </w:rPr>
              <w:t>不收取采购代理服务费</w:t>
            </w:r>
            <w:r>
              <w:rPr>
                <w:rFonts w:ascii="仿宋_GB2312" w:hAnsi="仿宋_GB2312" w:eastAsia="仿宋_GB2312" w:cs="仿宋_GB2312"/>
                <w:kern w:val="0"/>
                <w:sz w:val="22"/>
                <w:szCs w:val="22"/>
              </w:rPr>
              <w:t>,</w:t>
            </w:r>
            <w:r>
              <w:rPr>
                <w:rFonts w:hint="eastAsia" w:ascii="仿宋_GB2312" w:hAnsi="仿宋_GB2312" w:eastAsia="仿宋_GB2312" w:cs="仿宋_GB2312"/>
                <w:kern w:val="0"/>
                <w:sz w:val="22"/>
                <w:szCs w:val="22"/>
              </w:rPr>
              <w:t>请各供应商在报价时充分考虑。</w:t>
            </w:r>
            <w:r>
              <w:rPr>
                <w:rFonts w:hint="eastAsia" w:ascii="仿宋_GB2312" w:hAnsi="仿宋_GB2312" w:eastAsia="仿宋_GB2312" w:cs="仿宋_GB2312"/>
                <w:kern w:val="0"/>
                <w:sz w:val="22"/>
                <w:szCs w:val="22"/>
                <w:lang w:eastAsia="zh-CN"/>
              </w:rPr>
              <w:t>社会代理机构比照市场价格标准协商确定收取代理费用标准和方式。</w:t>
            </w:r>
          </w:p>
          <w:p w14:paraId="5BB61165">
            <w:pPr>
              <w:spacing w:after="50" w:line="420" w:lineRule="exact"/>
              <w:rPr>
                <w:rFonts w:ascii="仿宋_GB2312" w:hAnsi="仿宋_GB2312" w:eastAsia="仿宋_GB2312"/>
              </w:rPr>
            </w:pPr>
          </w:p>
        </w:tc>
      </w:tr>
      <w:tr w14:paraId="7D93CD8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5" w:hRule="atLeast"/>
          <w:jc w:val="center"/>
        </w:trPr>
        <w:tc>
          <w:tcPr>
            <w:tcW w:w="1012" w:type="dxa"/>
            <w:tcBorders>
              <w:top w:val="single" w:color="auto" w:sz="4" w:space="0"/>
              <w:bottom w:val="single" w:color="auto" w:sz="4" w:space="0"/>
            </w:tcBorders>
            <w:vAlign w:val="center"/>
          </w:tcPr>
          <w:p w14:paraId="6DDB680A">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33</w:t>
            </w:r>
          </w:p>
        </w:tc>
        <w:tc>
          <w:tcPr>
            <w:tcW w:w="1591" w:type="dxa"/>
            <w:tcBorders>
              <w:top w:val="single" w:color="auto" w:sz="4" w:space="0"/>
              <w:bottom w:val="single" w:color="auto" w:sz="4" w:space="0"/>
            </w:tcBorders>
            <w:vAlign w:val="center"/>
          </w:tcPr>
          <w:p w14:paraId="5E8B2B12">
            <w:pPr>
              <w:pStyle w:val="110"/>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付款方式</w:t>
            </w:r>
          </w:p>
        </w:tc>
        <w:tc>
          <w:tcPr>
            <w:tcW w:w="7154" w:type="dxa"/>
            <w:tcBorders>
              <w:top w:val="single" w:color="auto" w:sz="4" w:space="0"/>
              <w:bottom w:val="single" w:color="auto" w:sz="4" w:space="0"/>
            </w:tcBorders>
            <w:vAlign w:val="center"/>
          </w:tcPr>
          <w:p w14:paraId="556C97B9">
            <w:pPr>
              <w:pStyle w:val="37"/>
              <w:jc w:val="left"/>
              <w:rPr>
                <w:rFonts w:ascii="仿宋_GB2312" w:hAnsi="仿宋_GB2312" w:eastAsia="仿宋_GB2312" w:cs="Times New Roman"/>
              </w:rPr>
            </w:pPr>
            <w:r>
              <w:rPr>
                <w:rFonts w:hint="eastAsia" w:ascii="仿宋_GB2312" w:hAnsi="仿宋_GB2312" w:eastAsia="仿宋_GB2312" w:cs="Times New Roman"/>
              </w:rPr>
              <w:t>合同签订后10个工作日内支付合同总金额的45%，项目验收通过后10个工作日内支付合同总金额的50%，项目验收通过满1年后10个工作日内支付合同总金额的5%。</w:t>
            </w:r>
          </w:p>
          <w:p w14:paraId="4FB177D8">
            <w:pPr>
              <w:pStyle w:val="37"/>
              <w:jc w:val="left"/>
              <w:rPr>
                <w:rFonts w:ascii="仿宋_GB2312" w:hAnsi="仿宋_GB2312" w:eastAsia="仿宋_GB2312" w:cs="Times New Roman"/>
              </w:rPr>
            </w:pPr>
          </w:p>
        </w:tc>
      </w:tr>
      <w:tr w14:paraId="447B3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98" w:hRule="atLeast"/>
          <w:jc w:val="center"/>
        </w:trPr>
        <w:tc>
          <w:tcPr>
            <w:tcW w:w="1012" w:type="dxa"/>
            <w:tcBorders>
              <w:top w:val="single" w:color="auto" w:sz="4" w:space="0"/>
              <w:bottom w:val="single" w:color="auto" w:sz="4" w:space="0"/>
            </w:tcBorders>
            <w:vAlign w:val="center"/>
          </w:tcPr>
          <w:p w14:paraId="16924C7B">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34</w:t>
            </w:r>
          </w:p>
        </w:tc>
        <w:tc>
          <w:tcPr>
            <w:tcW w:w="1591" w:type="dxa"/>
            <w:tcBorders>
              <w:top w:val="single" w:color="auto" w:sz="4" w:space="0"/>
              <w:bottom w:val="single" w:color="auto" w:sz="4" w:space="0"/>
            </w:tcBorders>
            <w:vAlign w:val="center"/>
          </w:tcPr>
          <w:p w14:paraId="4BC6843A">
            <w:pPr>
              <w:pStyle w:val="110"/>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评标委员会</w:t>
            </w:r>
          </w:p>
        </w:tc>
        <w:tc>
          <w:tcPr>
            <w:tcW w:w="7154" w:type="dxa"/>
            <w:tcBorders>
              <w:top w:val="single" w:color="auto" w:sz="4" w:space="0"/>
              <w:bottom w:val="single" w:color="auto" w:sz="4" w:space="0"/>
            </w:tcBorders>
            <w:vAlign w:val="center"/>
          </w:tcPr>
          <w:p w14:paraId="074425B2">
            <w:pPr>
              <w:pStyle w:val="116"/>
              <w:spacing w:line="460" w:lineRule="exact"/>
              <w:ind w:left="1" w:firstLine="420" w:firstLineChars="200"/>
              <w:rPr>
                <w:rFonts w:ascii="仿宋_GB2312" w:hAnsi="仿宋_GB2312" w:eastAsia="仿宋_GB2312" w:cs="Times New Roman"/>
              </w:rPr>
            </w:pPr>
            <w:r>
              <w:rPr>
                <w:rFonts w:hint="eastAsia" w:ascii="仿宋_GB2312" w:hAnsi="仿宋_GB2312" w:eastAsia="仿宋_GB2312" w:cs="仿宋_GB2312"/>
                <w:sz w:val="21"/>
                <w:szCs w:val="21"/>
              </w:rPr>
              <w:t>评标委员会由采购人代表和评标专家组成，在陇南市公共资源交易中心政府采购专家库中随机抽取行业专家。</w:t>
            </w:r>
          </w:p>
        </w:tc>
      </w:tr>
      <w:tr w14:paraId="50955F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09" w:hRule="atLeast"/>
          <w:jc w:val="center"/>
        </w:trPr>
        <w:tc>
          <w:tcPr>
            <w:tcW w:w="1012" w:type="dxa"/>
            <w:tcBorders>
              <w:top w:val="single" w:color="auto" w:sz="4" w:space="0"/>
              <w:bottom w:val="single" w:color="auto" w:sz="4" w:space="0"/>
            </w:tcBorders>
            <w:vAlign w:val="center"/>
          </w:tcPr>
          <w:p w14:paraId="445A43C8">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35</w:t>
            </w:r>
          </w:p>
        </w:tc>
        <w:tc>
          <w:tcPr>
            <w:tcW w:w="1591" w:type="dxa"/>
            <w:tcBorders>
              <w:top w:val="single" w:color="auto" w:sz="4" w:space="0"/>
              <w:bottom w:val="single" w:color="auto" w:sz="4" w:space="0"/>
            </w:tcBorders>
            <w:vAlign w:val="center"/>
          </w:tcPr>
          <w:p w14:paraId="5A74A88E">
            <w:pPr>
              <w:pStyle w:val="110"/>
              <w:jc w:val="center"/>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信息发布</w:t>
            </w:r>
          </w:p>
        </w:tc>
        <w:tc>
          <w:tcPr>
            <w:tcW w:w="7154" w:type="dxa"/>
            <w:tcBorders>
              <w:top w:val="single" w:color="auto" w:sz="4" w:space="0"/>
              <w:bottom w:val="single" w:color="auto" w:sz="4" w:space="0"/>
            </w:tcBorders>
            <w:vAlign w:val="center"/>
          </w:tcPr>
          <w:p w14:paraId="4CE187FB">
            <w:pPr>
              <w:spacing w:after="50" w:line="420" w:lineRule="exact"/>
              <w:ind w:firstLine="420" w:firstLineChars="200"/>
              <w:rPr>
                <w:rFonts w:ascii="仿宋_GB2312" w:hAnsi="仿宋_GB2312" w:eastAsia="仿宋_GB2312"/>
                <w:b/>
                <w:bCs/>
                <w:lang w:val="zh-CN"/>
              </w:rPr>
            </w:pPr>
            <w:r>
              <w:rPr>
                <w:rFonts w:hint="eastAsia" w:ascii="仿宋_GB2312" w:hAnsi="仿宋_GB2312" w:eastAsia="仿宋_GB2312" w:cs="仿宋_GB2312"/>
              </w:rPr>
              <w:t>按照《政府采购信息公告管理办法》中华人民共和国财政部令第</w:t>
            </w:r>
            <w:r>
              <w:rPr>
                <w:rFonts w:ascii="仿宋_GB2312" w:hAnsi="仿宋_GB2312" w:eastAsia="仿宋_GB2312" w:cs="仿宋_GB2312"/>
              </w:rPr>
              <w:t>19</w:t>
            </w:r>
            <w:r>
              <w:rPr>
                <w:rFonts w:hint="eastAsia" w:ascii="仿宋_GB2312" w:hAnsi="仿宋_GB2312" w:eastAsia="仿宋_GB2312" w:cs="仿宋_GB2312"/>
              </w:rPr>
              <w:t>号第三章第十八条在各政府采购信息指定发布媒体上公告同一政府采购信息的时间不一致的，以在财政部指定的政府采购信息发布媒体上最早公告信息的时间为公告时间和政府采购当事人对有关事项应当知道的时间。本项目时间安排以甘肃政府采购网发布信息为准。</w:t>
            </w:r>
          </w:p>
        </w:tc>
      </w:tr>
      <w:tr w14:paraId="2E24B7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85" w:hRule="atLeast"/>
          <w:jc w:val="center"/>
        </w:trPr>
        <w:tc>
          <w:tcPr>
            <w:tcW w:w="1012" w:type="dxa"/>
            <w:tcBorders>
              <w:top w:val="single" w:color="auto" w:sz="4" w:space="0"/>
              <w:bottom w:val="single" w:color="auto" w:sz="4" w:space="0"/>
            </w:tcBorders>
            <w:vAlign w:val="center"/>
          </w:tcPr>
          <w:p w14:paraId="25ADCF79">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36</w:t>
            </w:r>
          </w:p>
        </w:tc>
        <w:tc>
          <w:tcPr>
            <w:tcW w:w="1591" w:type="dxa"/>
            <w:tcBorders>
              <w:top w:val="single" w:color="auto" w:sz="4" w:space="0"/>
              <w:bottom w:val="single" w:color="auto" w:sz="4" w:space="0"/>
            </w:tcBorders>
            <w:vAlign w:val="center"/>
          </w:tcPr>
          <w:p w14:paraId="419A8B92">
            <w:pPr>
              <w:pStyle w:val="110"/>
              <w:jc w:val="left"/>
              <w:rPr>
                <w:rFonts w:ascii="仿宋_GB2312" w:hAnsi="仿宋_GB2312" w:eastAsia="仿宋_GB2312" w:cs="Times New Roman"/>
                <w:b/>
                <w:bCs/>
                <w:color w:val="121212"/>
                <w:sz w:val="22"/>
                <w:szCs w:val="22"/>
                <w:shd w:val="clear" w:color="auto" w:fill="FFFFFF"/>
              </w:rPr>
            </w:pPr>
            <w:r>
              <w:rPr>
                <w:rFonts w:hint="eastAsia" w:ascii="仿宋_GB2312" w:hAnsi="仿宋_GB2312" w:eastAsia="仿宋_GB2312" w:cs="仿宋_GB2312"/>
                <w:b/>
                <w:bCs/>
                <w:color w:val="121212"/>
                <w:sz w:val="22"/>
                <w:szCs w:val="22"/>
                <w:shd w:val="clear" w:color="auto" w:fill="FFFFFF"/>
                <w:lang w:eastAsia="zh-CN"/>
              </w:rPr>
              <w:t>政府采购合同融资</w:t>
            </w:r>
          </w:p>
        </w:tc>
        <w:tc>
          <w:tcPr>
            <w:tcW w:w="7154" w:type="dxa"/>
            <w:tcBorders>
              <w:top w:val="single" w:color="auto" w:sz="4" w:space="0"/>
              <w:bottom w:val="single" w:color="auto" w:sz="4" w:space="0"/>
            </w:tcBorders>
            <w:vAlign w:val="center"/>
          </w:tcPr>
          <w:p w14:paraId="5A4C8F89">
            <w:pPr>
              <w:pStyle w:val="22"/>
              <w:adjustRightInd w:val="0"/>
              <w:snapToGrid w:val="0"/>
              <w:spacing w:beforeLines="50" w:line="360" w:lineRule="auto"/>
              <w:jc w:val="left"/>
              <w:rPr>
                <w:rFonts w:ascii="仿宋_GB2312" w:hAnsi="仿宋_GB2312" w:eastAsia="仿宋_GB2312" w:cs="Times New Roman"/>
                <w:b/>
                <w:bCs/>
                <w:sz w:val="22"/>
                <w:szCs w:val="22"/>
              </w:rPr>
            </w:pPr>
            <w:r>
              <w:rPr>
                <w:rFonts w:hint="eastAsia" w:ascii="仿宋_GB2312" w:hAnsi="仿宋_GB2312" w:eastAsia="仿宋_GB2312" w:cs="仿宋_GB2312"/>
                <w:sz w:val="22"/>
                <w:szCs w:val="22"/>
              </w:rPr>
              <w:t>在甘肃省注册、具有法人资格且依法取得省内政府采购合同中小微企业在依法签订政府采购合同后，即可通过融资平台自行选择金融机构及合同融资产品，申请合同融资。详见《甘肃省财政厅关于开展甘肃省政府采购合同融资业务有关事宜的通知》（甘财采〔</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16</w:t>
            </w:r>
            <w:r>
              <w:rPr>
                <w:rFonts w:hint="eastAsia" w:ascii="仿宋_GB2312" w:hAnsi="仿宋_GB2312" w:eastAsia="仿宋_GB2312" w:cs="仿宋_GB2312"/>
                <w:sz w:val="22"/>
                <w:szCs w:val="22"/>
              </w:rPr>
              <w:t>号）。</w:t>
            </w:r>
            <w:r>
              <w:rPr>
                <w:rFonts w:ascii="仿宋_GB2312" w:hAnsi="仿宋_GB2312" w:eastAsia="仿宋_GB2312" w:cs="仿宋_GB2312"/>
                <w:sz w:val="22"/>
                <w:szCs w:val="22"/>
              </w:rPr>
              <w:t xml:space="preserve"> </w:t>
            </w:r>
          </w:p>
        </w:tc>
      </w:tr>
      <w:tr w14:paraId="5FA5B5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00" w:hRule="atLeast"/>
          <w:jc w:val="center"/>
        </w:trPr>
        <w:tc>
          <w:tcPr>
            <w:tcW w:w="1012" w:type="dxa"/>
            <w:tcBorders>
              <w:top w:val="single" w:color="auto" w:sz="4" w:space="0"/>
              <w:bottom w:val="single" w:color="auto" w:sz="4" w:space="0"/>
            </w:tcBorders>
            <w:vAlign w:val="center"/>
          </w:tcPr>
          <w:p w14:paraId="7A0DD49F">
            <w:pPr>
              <w:pStyle w:val="110"/>
              <w:ind w:right="264"/>
              <w:jc w:val="center"/>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37</w:t>
            </w:r>
          </w:p>
        </w:tc>
        <w:tc>
          <w:tcPr>
            <w:tcW w:w="1591" w:type="dxa"/>
            <w:tcBorders>
              <w:top w:val="single" w:color="auto" w:sz="4" w:space="0"/>
              <w:bottom w:val="single" w:color="auto" w:sz="4" w:space="0"/>
            </w:tcBorders>
            <w:vAlign w:val="center"/>
          </w:tcPr>
          <w:p w14:paraId="35F1A181">
            <w:pPr>
              <w:widowControl/>
              <w:jc w:val="center"/>
              <w:rPr>
                <w:rFonts w:ascii="仿宋_GB2312" w:hAnsi="仿宋_GB2312" w:eastAsia="仿宋_GB2312"/>
                <w:b/>
                <w:bCs/>
              </w:rPr>
            </w:pPr>
            <w:r>
              <w:rPr>
                <w:rFonts w:hint="eastAsia" w:ascii="仿宋_GB2312" w:hAnsi="仿宋_GB2312" w:eastAsia="仿宋_GB2312" w:cs="仿宋_GB2312"/>
                <w:b/>
                <w:bCs/>
                <w:color w:val="000000"/>
                <w:kern w:val="0"/>
                <w:sz w:val="24"/>
                <w:szCs w:val="24"/>
              </w:rPr>
              <w:t>中标通知书</w:t>
            </w:r>
          </w:p>
          <w:p w14:paraId="48A425E6">
            <w:pPr>
              <w:widowControl/>
              <w:jc w:val="center"/>
              <w:rPr>
                <w:rFonts w:ascii="仿宋_GB2312" w:hAnsi="仿宋_GB2312" w:eastAsia="仿宋_GB2312"/>
                <w:b/>
                <w:bCs/>
                <w:color w:val="121212"/>
                <w:sz w:val="22"/>
                <w:szCs w:val="22"/>
                <w:shd w:val="clear" w:color="auto" w:fill="FFFFFF"/>
              </w:rPr>
            </w:pPr>
            <w:r>
              <w:rPr>
                <w:rFonts w:hint="eastAsia" w:ascii="仿宋_GB2312" w:hAnsi="仿宋_GB2312" w:eastAsia="仿宋_GB2312" w:cs="仿宋_GB2312"/>
                <w:b/>
                <w:bCs/>
                <w:color w:val="000000"/>
                <w:kern w:val="0"/>
                <w:sz w:val="24"/>
                <w:szCs w:val="24"/>
              </w:rPr>
              <w:t>领取</w:t>
            </w:r>
          </w:p>
        </w:tc>
        <w:tc>
          <w:tcPr>
            <w:tcW w:w="7154" w:type="dxa"/>
            <w:tcBorders>
              <w:top w:val="single" w:color="auto" w:sz="4" w:space="0"/>
              <w:bottom w:val="single" w:color="auto" w:sz="4" w:space="0"/>
            </w:tcBorders>
            <w:vAlign w:val="center"/>
          </w:tcPr>
          <w:p w14:paraId="418F410D">
            <w:pPr>
              <w:widowControl/>
              <w:jc w:val="left"/>
              <w:rPr>
                <w:rFonts w:ascii="仿宋_GB2312" w:hAnsi="仿宋_GB2312" w:eastAsia="仿宋_GB2312"/>
                <w:sz w:val="22"/>
                <w:szCs w:val="22"/>
              </w:rPr>
            </w:pPr>
            <w:r>
              <w:rPr>
                <w:rFonts w:hint="eastAsia" w:ascii="仿宋_GB2312" w:hAnsi="仿宋_GB2312" w:eastAsia="仿宋_GB2312" w:cs="仿宋_GB2312"/>
                <w:b/>
                <w:bCs/>
                <w:color w:val="000000"/>
                <w:kern w:val="0"/>
                <w:sz w:val="24"/>
                <w:szCs w:val="24"/>
              </w:rPr>
              <w:t>中标公告发布后，中标人在</w:t>
            </w:r>
            <w:r>
              <w:rPr>
                <w:rFonts w:hint="eastAsia" w:ascii="仿宋_GB2312" w:hAnsi="仿宋_GB2312" w:eastAsia="仿宋_GB2312" w:cs="仿宋_GB2312"/>
                <w:b/>
                <w:bCs/>
                <w:color w:val="000000"/>
                <w:kern w:val="0"/>
                <w:sz w:val="24"/>
                <w:szCs w:val="24"/>
                <w:u w:val="none"/>
                <w:lang w:val="en-US" w:eastAsia="zh-CN"/>
              </w:rPr>
              <w:t>陇南市公共资源交易中心政府采购科316室</w:t>
            </w:r>
            <w:r>
              <w:rPr>
                <w:rFonts w:hint="eastAsia" w:ascii="仿宋_GB2312" w:hAnsi="仿宋_GB2312" w:eastAsia="仿宋_GB2312" w:cs="仿宋_GB2312"/>
                <w:b/>
                <w:bCs/>
                <w:color w:val="000000"/>
                <w:kern w:val="0"/>
                <w:sz w:val="24"/>
                <w:szCs w:val="24"/>
              </w:rPr>
              <w:t>领取中标通知书，不再另行通知。</w:t>
            </w:r>
          </w:p>
        </w:tc>
      </w:tr>
    </w:tbl>
    <w:p w14:paraId="7FC36CCE">
      <w:pPr>
        <w:pStyle w:val="35"/>
        <w:numPr>
          <w:ilvl w:val="0"/>
          <w:numId w:val="0"/>
        </w:numPr>
        <w:ind w:leftChars="0"/>
      </w:pPr>
    </w:p>
    <w:p w14:paraId="15F9912D">
      <w:pPr>
        <w:keepNext/>
        <w:keepLines/>
        <w:pageBreakBefore/>
        <w:jc w:val="center"/>
        <w:outlineLvl w:val="1"/>
        <w:rPr>
          <w:rFonts w:ascii="宋体"/>
          <w:b/>
          <w:bCs/>
          <w:kern w:val="0"/>
          <w:sz w:val="32"/>
          <w:szCs w:val="32"/>
        </w:rPr>
      </w:pPr>
      <w:bookmarkStart w:id="13" w:name="_Toc1137"/>
      <w:r>
        <w:rPr>
          <w:rFonts w:hint="eastAsia" w:ascii="宋体" w:hAnsi="宋体" w:cs="宋体"/>
          <w:b/>
          <w:bCs/>
          <w:kern w:val="0"/>
          <w:sz w:val="32"/>
          <w:szCs w:val="32"/>
        </w:rPr>
        <w:t>第二节、投标文件否决性条款</w:t>
      </w:r>
      <w:bookmarkEnd w:id="13"/>
    </w:p>
    <w:p w14:paraId="2737E2F6">
      <w:pPr>
        <w:spacing w:line="282" w:lineRule="auto"/>
        <w:rPr>
          <w:rFonts w:ascii="宋体"/>
        </w:rPr>
      </w:pPr>
    </w:p>
    <w:p w14:paraId="5F2E3BE5">
      <w:pPr>
        <w:spacing w:before="68" w:line="492" w:lineRule="auto"/>
        <w:ind w:left="539" w:right="83" w:firstLine="615"/>
        <w:rPr>
          <w:rFonts w:ascii="宋体"/>
          <w:b/>
          <w:bCs/>
          <w:sz w:val="28"/>
          <w:szCs w:val="28"/>
        </w:rPr>
      </w:pPr>
      <w:r>
        <w:rPr>
          <w:rFonts w:hint="eastAsia" w:ascii="宋体" w:hAnsi="宋体" w:cs="宋体"/>
          <w:b/>
          <w:bCs/>
          <w:spacing w:val="1"/>
          <w:sz w:val="28"/>
          <w:szCs w:val="28"/>
        </w:rPr>
        <w:t>本章节是本次招标文件</w:t>
      </w:r>
      <w:r>
        <w:rPr>
          <w:rFonts w:ascii="宋体" w:hAnsi="宋体" w:cs="宋体"/>
          <w:b/>
          <w:bCs/>
          <w:spacing w:val="1"/>
          <w:sz w:val="28"/>
          <w:szCs w:val="28"/>
        </w:rPr>
        <w:t>(</w:t>
      </w:r>
      <w:r>
        <w:rPr>
          <w:rFonts w:hint="eastAsia" w:ascii="宋体" w:hAnsi="宋体" w:cs="宋体"/>
          <w:b/>
          <w:bCs/>
          <w:spacing w:val="1"/>
          <w:sz w:val="28"/>
          <w:szCs w:val="28"/>
        </w:rPr>
        <w:t>含招标文件的澄清、答疑、补充文件等</w:t>
      </w:r>
      <w:r>
        <w:rPr>
          <w:rFonts w:ascii="宋体" w:hAnsi="宋体" w:cs="宋体"/>
          <w:b/>
          <w:bCs/>
          <w:spacing w:val="1"/>
          <w:sz w:val="28"/>
          <w:szCs w:val="28"/>
        </w:rPr>
        <w:t>)</w:t>
      </w:r>
      <w:r>
        <w:rPr>
          <w:rFonts w:hint="eastAsia" w:ascii="宋体" w:hAnsi="宋体" w:cs="宋体"/>
          <w:b/>
          <w:bCs/>
          <w:spacing w:val="1"/>
          <w:sz w:val="28"/>
          <w:szCs w:val="28"/>
        </w:rPr>
        <w:t>中涉及的所有无</w:t>
      </w:r>
      <w:r>
        <w:rPr>
          <w:rFonts w:hint="eastAsia" w:ascii="宋体" w:hAnsi="宋体" w:cs="宋体"/>
          <w:b/>
          <w:bCs/>
          <w:sz w:val="28"/>
          <w:szCs w:val="28"/>
        </w:rPr>
        <w:t>效条款的摘要。招标文件中有关无效条款的阐述与本章节不一致的，以本章</w:t>
      </w:r>
      <w:r>
        <w:rPr>
          <w:rFonts w:hint="eastAsia" w:ascii="宋体" w:hAnsi="宋体" w:cs="宋体"/>
          <w:b/>
          <w:bCs/>
          <w:spacing w:val="-1"/>
          <w:sz w:val="28"/>
          <w:szCs w:val="28"/>
        </w:rPr>
        <w:t>节内容为准。</w:t>
      </w:r>
    </w:p>
    <w:p w14:paraId="679B4377">
      <w:pPr>
        <w:adjustRightInd w:val="0"/>
        <w:snapToGrid w:val="0"/>
        <w:spacing w:beforeLines="50" w:line="360" w:lineRule="auto"/>
        <w:ind w:right="-109" w:rightChars="-52" w:firstLine="442" w:firstLineChars="200"/>
        <w:rPr>
          <w:rFonts w:ascii="宋体"/>
          <w:b/>
          <w:bCs/>
          <w:sz w:val="22"/>
          <w:szCs w:val="22"/>
        </w:rPr>
      </w:pPr>
      <w:r>
        <w:rPr>
          <w:rFonts w:hint="eastAsia" w:ascii="宋体" w:hAnsi="宋体" w:cs="宋体"/>
          <w:b/>
          <w:bCs/>
          <w:sz w:val="22"/>
          <w:szCs w:val="22"/>
        </w:rPr>
        <w:t>一．开标会上，投标文件不予受理的情形（由招标人或招标代理机构负责判定）</w:t>
      </w:r>
    </w:p>
    <w:p w14:paraId="6C39FEB8">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1</w:t>
      </w:r>
      <w:r>
        <w:rPr>
          <w:rFonts w:hint="eastAsia" w:ascii="宋体" w:hAnsi="宋体" w:cs="宋体"/>
          <w:sz w:val="22"/>
          <w:szCs w:val="22"/>
        </w:rPr>
        <w:t>、投标文件未按招标文件规定的时间及方式上传的；</w:t>
      </w:r>
    </w:p>
    <w:p w14:paraId="0BC84DB5">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2</w:t>
      </w:r>
      <w:r>
        <w:rPr>
          <w:rFonts w:hint="eastAsia" w:ascii="宋体" w:hAnsi="宋体" w:cs="宋体"/>
          <w:sz w:val="22"/>
          <w:szCs w:val="22"/>
        </w:rPr>
        <w:t>、未参加投标报名或报名审核未通过的；</w:t>
      </w:r>
    </w:p>
    <w:p w14:paraId="66673E33">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3</w:t>
      </w:r>
      <w:r>
        <w:rPr>
          <w:rFonts w:hint="eastAsia" w:ascii="宋体" w:hAnsi="宋体" w:cs="宋体"/>
          <w:sz w:val="22"/>
          <w:szCs w:val="22"/>
        </w:rPr>
        <w:t>、不同投标人的投标文件载明的项目管理成员或者联系人员为同一人；</w:t>
      </w:r>
    </w:p>
    <w:p w14:paraId="0B40965D">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4</w:t>
      </w:r>
      <w:r>
        <w:rPr>
          <w:rFonts w:hint="eastAsia" w:ascii="宋体" w:hAnsi="宋体" w:cs="宋体"/>
          <w:sz w:val="22"/>
          <w:szCs w:val="22"/>
        </w:rPr>
        <w:t>、投标人名称与投标报名时的名称不一致者且未提供有效证明的；</w:t>
      </w:r>
    </w:p>
    <w:p w14:paraId="507C943C">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5</w:t>
      </w:r>
      <w:r>
        <w:rPr>
          <w:rFonts w:hint="eastAsia" w:ascii="宋体" w:hAnsi="宋体" w:cs="宋体"/>
          <w:sz w:val="22"/>
          <w:szCs w:val="22"/>
        </w:rPr>
        <w:t>、报价超过招标文件中规定的采购预算金额或者最高限价的；</w:t>
      </w:r>
    </w:p>
    <w:p w14:paraId="328301E0">
      <w:pPr>
        <w:adjustRightInd w:val="0"/>
        <w:snapToGrid w:val="0"/>
        <w:spacing w:beforeLines="50" w:line="360" w:lineRule="auto"/>
        <w:ind w:right="-109" w:rightChars="-52" w:firstLine="442" w:firstLineChars="200"/>
        <w:rPr>
          <w:rFonts w:ascii="宋体"/>
          <w:sz w:val="22"/>
          <w:szCs w:val="22"/>
        </w:rPr>
      </w:pPr>
      <w:r>
        <w:rPr>
          <w:rFonts w:ascii="宋体" w:hAnsi="宋体" w:cs="宋体"/>
          <w:b/>
          <w:bCs/>
          <w:sz w:val="22"/>
          <w:szCs w:val="22"/>
        </w:rPr>
        <w:t xml:space="preserve"> </w:t>
      </w:r>
      <w:r>
        <w:rPr>
          <w:rFonts w:hint="eastAsia" w:ascii="宋体" w:hAnsi="宋体" w:cs="宋体"/>
          <w:b/>
          <w:bCs/>
          <w:sz w:val="22"/>
          <w:szCs w:val="22"/>
        </w:rPr>
        <w:t>二、有下列情形之一的，视为投标人串通投标，其投标无效（由评标委员会负责判定）</w:t>
      </w:r>
      <w:r>
        <w:rPr>
          <w:rFonts w:ascii="宋体" w:hAnsi="宋体" w:cs="宋体"/>
          <w:b/>
          <w:bCs/>
          <w:sz w:val="22"/>
          <w:szCs w:val="22"/>
        </w:rPr>
        <w:t xml:space="preserve"> </w:t>
      </w:r>
    </w:p>
    <w:p w14:paraId="04C7A10E">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1</w:t>
      </w:r>
      <w:r>
        <w:rPr>
          <w:rFonts w:hint="eastAsia" w:ascii="宋体" w:hAnsi="宋体" w:cs="宋体"/>
          <w:sz w:val="22"/>
          <w:szCs w:val="22"/>
        </w:rPr>
        <w:t>、不同投标人的投标文件由同一单位或者个人编制；</w:t>
      </w:r>
    </w:p>
    <w:p w14:paraId="499DCDAB">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2</w:t>
      </w:r>
      <w:r>
        <w:rPr>
          <w:rFonts w:hint="eastAsia" w:ascii="宋体" w:hAnsi="宋体" w:cs="宋体"/>
          <w:sz w:val="22"/>
          <w:szCs w:val="22"/>
        </w:rPr>
        <w:t>、不同投标人委托同一单位或者个人办理投标事宜；</w:t>
      </w:r>
    </w:p>
    <w:p w14:paraId="209E1608">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3</w:t>
      </w:r>
      <w:r>
        <w:rPr>
          <w:rFonts w:hint="eastAsia" w:ascii="宋体" w:hAnsi="宋体" w:cs="宋体"/>
          <w:sz w:val="22"/>
          <w:szCs w:val="22"/>
        </w:rPr>
        <w:t>、不同投标人的投标文件载明的项目管理成员或者联系人员为同一人；</w:t>
      </w:r>
    </w:p>
    <w:p w14:paraId="283825E1">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4</w:t>
      </w:r>
      <w:r>
        <w:rPr>
          <w:rFonts w:hint="eastAsia" w:ascii="宋体" w:hAnsi="宋体" w:cs="宋体"/>
          <w:sz w:val="22"/>
          <w:szCs w:val="22"/>
        </w:rPr>
        <w:t>、不同投标人的投标文件异常一致或者投标报价呈规律性差异；（如：不同投标人的投标文件错漏之处一致的）；</w:t>
      </w:r>
      <w:r>
        <w:rPr>
          <w:rFonts w:ascii="宋体" w:hAnsi="宋体" w:cs="宋体"/>
          <w:sz w:val="22"/>
          <w:szCs w:val="22"/>
        </w:rPr>
        <w:t xml:space="preserve"> </w:t>
      </w:r>
    </w:p>
    <w:p w14:paraId="2D3C4510">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5</w:t>
      </w:r>
      <w:r>
        <w:rPr>
          <w:rFonts w:hint="eastAsia" w:ascii="宋体" w:hAnsi="宋体" w:cs="宋体"/>
          <w:sz w:val="22"/>
          <w:szCs w:val="22"/>
        </w:rPr>
        <w:t>、不同投标人的投标文件相互混装；</w:t>
      </w:r>
    </w:p>
    <w:p w14:paraId="370B68AF">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6</w:t>
      </w:r>
      <w:r>
        <w:rPr>
          <w:rFonts w:hint="eastAsia" w:ascii="宋体" w:hAnsi="宋体" w:cs="宋体"/>
          <w:sz w:val="22"/>
          <w:szCs w:val="22"/>
        </w:rPr>
        <w:t>、不同投标人的投标保证金从同一单位或者个人的账户转出；</w:t>
      </w:r>
    </w:p>
    <w:p w14:paraId="5B753DF1">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7</w:t>
      </w:r>
      <w:r>
        <w:rPr>
          <w:rFonts w:hint="eastAsia" w:ascii="宋体" w:hAnsi="宋体" w:cs="宋体"/>
          <w:sz w:val="22"/>
          <w:szCs w:val="22"/>
        </w:rPr>
        <w:t>、有关法律、法规或规章规定的其他串通投标情形。</w:t>
      </w:r>
    </w:p>
    <w:p w14:paraId="6FB13AF0">
      <w:pPr>
        <w:adjustRightInd w:val="0"/>
        <w:snapToGrid w:val="0"/>
        <w:spacing w:beforeLines="50" w:line="360" w:lineRule="auto"/>
        <w:ind w:right="-109" w:rightChars="-52" w:firstLine="442" w:firstLineChars="200"/>
        <w:rPr>
          <w:rFonts w:ascii="宋体"/>
          <w:b/>
          <w:bCs/>
          <w:sz w:val="22"/>
          <w:szCs w:val="22"/>
        </w:rPr>
      </w:pPr>
      <w:r>
        <w:rPr>
          <w:rFonts w:hint="eastAsia" w:ascii="宋体" w:hAnsi="宋体" w:cs="宋体"/>
          <w:b/>
          <w:bCs/>
          <w:sz w:val="22"/>
          <w:szCs w:val="22"/>
        </w:rPr>
        <w:t>二．详细评审中投标人存在下列情况之一的，投标无效（由评标委员会负责判定）</w:t>
      </w:r>
    </w:p>
    <w:p w14:paraId="00A2F09E">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1</w:t>
      </w:r>
      <w:r>
        <w:rPr>
          <w:rFonts w:hint="eastAsia" w:ascii="宋体" w:hAnsi="宋体" w:cs="宋体"/>
          <w:sz w:val="22"/>
          <w:szCs w:val="22"/>
        </w:rPr>
        <w:t>、投标文件未按招标文件要求签署、盖章的；</w:t>
      </w:r>
    </w:p>
    <w:p w14:paraId="2520D6FB">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2</w:t>
      </w:r>
      <w:r>
        <w:rPr>
          <w:rFonts w:hint="eastAsia" w:ascii="宋体" w:hAnsi="宋体" w:cs="宋体"/>
          <w:sz w:val="22"/>
          <w:szCs w:val="22"/>
        </w:rPr>
        <w:t>、不具备招标文件中规定的资格要求的；</w:t>
      </w:r>
    </w:p>
    <w:p w14:paraId="15525A73">
      <w:pPr>
        <w:adjustRightInd w:val="0"/>
        <w:snapToGrid w:val="0"/>
        <w:spacing w:beforeLines="50" w:line="360" w:lineRule="auto"/>
        <w:ind w:left="420" w:leftChars="200" w:right="-109" w:rightChars="-52"/>
        <w:rPr>
          <w:rFonts w:ascii="宋体"/>
          <w:sz w:val="22"/>
          <w:szCs w:val="22"/>
        </w:rPr>
      </w:pPr>
      <w:r>
        <w:rPr>
          <w:rFonts w:ascii="宋体" w:hAnsi="宋体" w:cs="宋体"/>
          <w:sz w:val="22"/>
          <w:szCs w:val="22"/>
        </w:rPr>
        <w:t>3</w:t>
      </w:r>
      <w:r>
        <w:rPr>
          <w:rFonts w:hint="eastAsia" w:ascii="宋体" w:hAnsi="宋体" w:cs="宋体"/>
          <w:sz w:val="22"/>
          <w:szCs w:val="22"/>
        </w:rPr>
        <w:t>、报价超过招标文件中规定的预算金额或者最高限价的；</w:t>
      </w:r>
    </w:p>
    <w:p w14:paraId="1B79D797">
      <w:pPr>
        <w:adjustRightInd w:val="0"/>
        <w:snapToGrid w:val="0"/>
        <w:spacing w:beforeLines="50" w:line="360" w:lineRule="auto"/>
        <w:ind w:left="420" w:leftChars="200" w:right="-109" w:rightChars="-52"/>
        <w:rPr>
          <w:rFonts w:hint="eastAsia" w:ascii="宋体" w:eastAsia="宋体"/>
          <w:sz w:val="22"/>
          <w:szCs w:val="22"/>
          <w:lang w:eastAsia="zh-CN"/>
        </w:rPr>
      </w:pPr>
      <w:r>
        <w:rPr>
          <w:rFonts w:ascii="宋体" w:hAnsi="宋体" w:cs="宋体"/>
          <w:sz w:val="22"/>
          <w:szCs w:val="22"/>
        </w:rPr>
        <w:t>4</w:t>
      </w:r>
      <w:r>
        <w:rPr>
          <w:rFonts w:hint="eastAsia" w:ascii="宋体" w:hAnsi="宋体" w:cs="宋体"/>
          <w:sz w:val="22"/>
          <w:szCs w:val="22"/>
        </w:rPr>
        <w:t>、投标文件含有采购人不能接受的附加条件的</w:t>
      </w:r>
      <w:r>
        <w:rPr>
          <w:rFonts w:hint="eastAsia" w:ascii="宋体" w:hAnsi="宋体" w:cs="宋体"/>
          <w:sz w:val="22"/>
          <w:szCs w:val="22"/>
          <w:lang w:eastAsia="zh-CN"/>
        </w:rPr>
        <w:t>；</w:t>
      </w:r>
    </w:p>
    <w:p w14:paraId="0955CF36">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5</w:t>
      </w:r>
      <w:r>
        <w:rPr>
          <w:rFonts w:hint="eastAsia" w:ascii="宋体" w:hAnsi="宋体" w:cs="宋体"/>
          <w:sz w:val="22"/>
          <w:szCs w:val="22"/>
        </w:rPr>
        <w:t>、评审专家中有</w:t>
      </w:r>
      <w:r>
        <w:rPr>
          <w:rFonts w:ascii="宋体" w:hAnsi="宋体" w:cs="宋体"/>
          <w:sz w:val="22"/>
          <w:szCs w:val="22"/>
        </w:rPr>
        <w:t>2/3</w:t>
      </w:r>
      <w:r>
        <w:rPr>
          <w:rFonts w:hint="eastAsia" w:ascii="宋体" w:hAnsi="宋体" w:cs="宋体"/>
          <w:sz w:val="22"/>
          <w:szCs w:val="22"/>
        </w:rPr>
        <w:t>认定投标人投标价格有恶意报价行为，投标人不能提供有效证明材料的；</w:t>
      </w:r>
    </w:p>
    <w:p w14:paraId="01B25CEC">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6</w:t>
      </w:r>
      <w:r>
        <w:rPr>
          <w:rFonts w:hint="eastAsia" w:ascii="宋体" w:hAnsi="宋体" w:cs="宋体"/>
          <w:sz w:val="22"/>
          <w:szCs w:val="22"/>
        </w:rPr>
        <w:t>、同一个项目或同一种货物提供了两种及以上备选方案或报价的；（招标文件规定提交备选投标方案的除外）；</w:t>
      </w:r>
    </w:p>
    <w:p w14:paraId="7B9FD415">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7</w:t>
      </w:r>
      <w:r>
        <w:rPr>
          <w:rFonts w:hint="eastAsia" w:ascii="宋体" w:hAnsi="宋体" w:cs="宋体"/>
          <w:sz w:val="22"/>
          <w:szCs w:val="22"/>
        </w:rPr>
        <w:t>、投标有效期小于招标文件要求的；</w:t>
      </w:r>
    </w:p>
    <w:p w14:paraId="0AA52301">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8</w:t>
      </w:r>
      <w:r>
        <w:rPr>
          <w:rFonts w:hint="eastAsia" w:ascii="宋体" w:hAnsi="宋体" w:cs="宋体"/>
          <w:sz w:val="22"/>
          <w:szCs w:val="22"/>
        </w:rPr>
        <w:t>、投标人资格证明文件不全或是虚假的；</w:t>
      </w:r>
    </w:p>
    <w:p w14:paraId="060108D1">
      <w:pPr>
        <w:adjustRightInd w:val="0"/>
        <w:snapToGrid w:val="0"/>
        <w:spacing w:beforeLines="50" w:line="360" w:lineRule="auto"/>
        <w:ind w:right="-109" w:rightChars="-52" w:firstLine="440" w:firstLineChars="200"/>
        <w:rPr>
          <w:rFonts w:hint="eastAsia" w:ascii="宋体" w:eastAsia="宋体"/>
          <w:sz w:val="22"/>
          <w:szCs w:val="22"/>
          <w:lang w:eastAsia="zh-CN"/>
        </w:rPr>
      </w:pPr>
      <w:r>
        <w:rPr>
          <w:rFonts w:ascii="宋体" w:hAnsi="宋体" w:cs="宋体"/>
          <w:sz w:val="22"/>
          <w:szCs w:val="22"/>
        </w:rPr>
        <w:t>9</w:t>
      </w:r>
      <w:r>
        <w:rPr>
          <w:rFonts w:hint="eastAsia" w:ascii="宋体" w:hAnsi="宋体" w:cs="宋体"/>
          <w:sz w:val="22"/>
          <w:szCs w:val="22"/>
        </w:rPr>
        <w:t>、经营范围没有的或不符的</w:t>
      </w:r>
      <w:r>
        <w:rPr>
          <w:rFonts w:hint="eastAsia" w:ascii="宋体" w:hAnsi="宋体" w:cs="宋体"/>
          <w:sz w:val="22"/>
          <w:szCs w:val="22"/>
          <w:lang w:eastAsia="zh-CN"/>
        </w:rPr>
        <w:t>；</w:t>
      </w:r>
    </w:p>
    <w:p w14:paraId="41A58D7E">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10</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投标文件出现重大负偏离的；投标文件不满足带★参数或其他实质要求的；</w:t>
      </w:r>
    </w:p>
    <w:p w14:paraId="57904D13">
      <w:pPr>
        <w:adjustRightInd w:val="0"/>
        <w:snapToGrid w:val="0"/>
        <w:spacing w:beforeLines="50" w:line="360" w:lineRule="auto"/>
        <w:ind w:right="-109" w:rightChars="-52" w:firstLine="440" w:firstLineChars="200"/>
        <w:rPr>
          <w:rFonts w:ascii="宋体"/>
          <w:sz w:val="22"/>
          <w:szCs w:val="22"/>
        </w:rPr>
      </w:pPr>
      <w:r>
        <w:rPr>
          <w:rFonts w:ascii="宋体" w:hAnsi="宋体" w:cs="宋体"/>
          <w:sz w:val="22"/>
          <w:szCs w:val="22"/>
        </w:rPr>
        <w:t>11</w:t>
      </w:r>
      <w:r>
        <w:rPr>
          <w:rFonts w:hint="eastAsia" w:ascii="宋体" w:hAnsi="宋体" w:cs="宋体"/>
          <w:sz w:val="22"/>
          <w:szCs w:val="22"/>
        </w:rPr>
        <w:t>、法律、法规和招标文件规定的其他无效情形。</w:t>
      </w:r>
    </w:p>
    <w:p w14:paraId="174B5F83">
      <w:pPr>
        <w:adjustRightInd w:val="0"/>
        <w:snapToGrid w:val="0"/>
        <w:spacing w:beforeLines="50" w:line="360" w:lineRule="auto"/>
        <w:ind w:right="-109" w:rightChars="-52" w:firstLine="442" w:firstLineChars="200"/>
        <w:rPr>
          <w:rFonts w:ascii="宋体"/>
          <w:b/>
          <w:bCs/>
          <w:sz w:val="22"/>
          <w:szCs w:val="22"/>
        </w:rPr>
      </w:pPr>
      <w:r>
        <w:rPr>
          <w:rFonts w:hint="eastAsia" w:ascii="宋体" w:hAnsi="宋体" w:cs="宋体"/>
          <w:b/>
          <w:bCs/>
          <w:sz w:val="22"/>
          <w:szCs w:val="22"/>
        </w:rPr>
        <w:t>四、废标条款</w:t>
      </w:r>
    </w:p>
    <w:p w14:paraId="73C841A3">
      <w:pPr>
        <w:adjustRightInd w:val="0"/>
        <w:snapToGrid w:val="0"/>
        <w:spacing w:beforeLines="50" w:line="360" w:lineRule="auto"/>
        <w:ind w:right="-109" w:rightChars="-52" w:firstLine="440" w:firstLineChars="200"/>
        <w:rPr>
          <w:rFonts w:ascii="宋体"/>
          <w:sz w:val="22"/>
          <w:szCs w:val="22"/>
        </w:rPr>
      </w:pPr>
      <w:r>
        <w:rPr>
          <w:rFonts w:hint="eastAsia" w:ascii="宋体" w:hAnsi="宋体" w:cs="宋体"/>
          <w:sz w:val="22"/>
          <w:szCs w:val="22"/>
        </w:rPr>
        <w:t>在招标采购中，出现有下列情形之一的，予以废标：</w:t>
      </w:r>
    </w:p>
    <w:p w14:paraId="4D54DDF4">
      <w:pPr>
        <w:adjustRightInd w:val="0"/>
        <w:snapToGrid w:val="0"/>
        <w:spacing w:beforeLines="50" w:line="360" w:lineRule="auto"/>
        <w:ind w:right="-109" w:rightChars="-52"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）符合专业条件的供应商或者对招标文件作实质性响应的供应商不足三家的；</w:t>
      </w:r>
    </w:p>
    <w:p w14:paraId="7D030D77">
      <w:pPr>
        <w:adjustRightInd w:val="0"/>
        <w:snapToGrid w:val="0"/>
        <w:spacing w:beforeLines="50" w:line="360" w:lineRule="auto"/>
        <w:ind w:right="-109" w:rightChars="-52"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）出现影响采购公正的违法、违规行为的；</w:t>
      </w:r>
    </w:p>
    <w:p w14:paraId="6AF127E2">
      <w:pPr>
        <w:adjustRightInd w:val="0"/>
        <w:snapToGrid w:val="0"/>
        <w:spacing w:beforeLines="50" w:line="360" w:lineRule="auto"/>
        <w:ind w:right="-109" w:rightChars="-52"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）投标人的报价均超过了采购预算的，采购人不能支付的；</w:t>
      </w:r>
    </w:p>
    <w:p w14:paraId="51222B7C">
      <w:pPr>
        <w:adjustRightInd w:val="0"/>
        <w:snapToGrid w:val="0"/>
        <w:spacing w:beforeLines="50" w:line="360" w:lineRule="auto"/>
        <w:ind w:right="-109" w:rightChars="-52"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）因重大变故，采购任务取消的。</w:t>
      </w:r>
    </w:p>
    <w:p w14:paraId="7758A622">
      <w:pPr>
        <w:rPr>
          <w:rFonts w:ascii="宋体"/>
        </w:rPr>
      </w:pPr>
    </w:p>
    <w:p w14:paraId="6361F5E4">
      <w:pPr>
        <w:rPr>
          <w:rFonts w:ascii="宋体"/>
        </w:rPr>
      </w:pPr>
    </w:p>
    <w:p w14:paraId="17471699">
      <w:pPr>
        <w:pStyle w:val="5"/>
        <w:pageBreakBefore/>
        <w:adjustRightInd/>
        <w:spacing w:before="0" w:after="0" w:line="360" w:lineRule="auto"/>
        <w:jc w:val="center"/>
        <w:textAlignment w:val="auto"/>
        <w:rPr>
          <w:rFonts w:ascii="宋体"/>
          <w:b w:val="0"/>
          <w:bCs w:val="0"/>
          <w:kern w:val="2"/>
          <w:sz w:val="32"/>
          <w:szCs w:val="32"/>
        </w:rPr>
      </w:pPr>
      <w:bookmarkStart w:id="14" w:name="_Toc25112"/>
      <w:bookmarkStart w:id="15" w:name="_Toc12650"/>
      <w:bookmarkStart w:id="16" w:name="_Toc373309552"/>
      <w:bookmarkStart w:id="17" w:name="_Toc373314697"/>
      <w:r>
        <w:rPr>
          <w:rFonts w:hint="eastAsia" w:ascii="宋体" w:hAnsi="宋体" w:cs="宋体"/>
          <w:b w:val="0"/>
          <w:bCs w:val="0"/>
          <w:kern w:val="2"/>
          <w:sz w:val="32"/>
          <w:szCs w:val="32"/>
        </w:rPr>
        <w:t>一、总则</w:t>
      </w:r>
      <w:bookmarkEnd w:id="14"/>
      <w:bookmarkEnd w:id="15"/>
    </w:p>
    <w:p w14:paraId="5C4FA743">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适用法律、法规</w:t>
      </w:r>
    </w:p>
    <w:p w14:paraId="3E7DAB2D">
      <w:pPr>
        <w:numPr>
          <w:ilvl w:val="1"/>
          <w:numId w:val="3"/>
        </w:numPr>
        <w:spacing w:line="360" w:lineRule="auto"/>
        <w:rPr>
          <w:rFonts w:ascii="宋体"/>
          <w:color w:val="000000"/>
          <w:sz w:val="22"/>
          <w:szCs w:val="22"/>
          <w:lang w:val="en-GB"/>
        </w:rPr>
      </w:pPr>
      <w:r>
        <w:rPr>
          <w:rFonts w:hint="eastAsia" w:ascii="宋体" w:hAnsi="宋体" w:cs="宋体"/>
          <w:color w:val="000000"/>
          <w:sz w:val="22"/>
          <w:szCs w:val="22"/>
          <w:lang w:val="en-GB"/>
        </w:rPr>
        <w:t>本次招标适用的主要法律、法规为《中华人民共和国政府采购法》、《中华人民共和国政府采购法实施条例》及其它相关法规。</w:t>
      </w:r>
    </w:p>
    <w:p w14:paraId="187244DE">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资金</w:t>
      </w:r>
    </w:p>
    <w:p w14:paraId="16A3A635">
      <w:pPr>
        <w:numPr>
          <w:ilvl w:val="1"/>
          <w:numId w:val="3"/>
        </w:numPr>
        <w:spacing w:line="360" w:lineRule="auto"/>
        <w:rPr>
          <w:rFonts w:ascii="宋体"/>
          <w:color w:val="000000"/>
          <w:sz w:val="22"/>
          <w:szCs w:val="22"/>
        </w:rPr>
      </w:pPr>
      <w:r>
        <w:rPr>
          <w:rFonts w:hint="eastAsia" w:ascii="宋体" w:hAnsi="宋体" w:cs="宋体"/>
          <w:color w:val="000000"/>
          <w:sz w:val="22"/>
          <w:szCs w:val="22"/>
          <w:lang w:val="en-GB"/>
        </w:rPr>
        <w:t>本项目的资金属于财政性资金，资金来源已经落实，计划用于支付本次采购后所签订的合同项下的款项。</w:t>
      </w:r>
    </w:p>
    <w:p w14:paraId="4CF26FDC">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释义</w:t>
      </w:r>
    </w:p>
    <w:p w14:paraId="73F2DE10">
      <w:pPr>
        <w:numPr>
          <w:ilvl w:val="1"/>
          <w:numId w:val="3"/>
        </w:numPr>
        <w:spacing w:line="360" w:lineRule="auto"/>
        <w:rPr>
          <w:rFonts w:ascii="宋体"/>
          <w:color w:val="000000"/>
          <w:sz w:val="22"/>
          <w:szCs w:val="22"/>
        </w:rPr>
      </w:pPr>
      <w:r>
        <w:rPr>
          <w:rFonts w:hint="eastAsia" w:ascii="宋体" w:hAnsi="宋体" w:cs="宋体"/>
          <w:sz w:val="22"/>
          <w:szCs w:val="22"/>
        </w:rPr>
        <w:t>采购人：系指依法进行政府采购的国家机关、事业单位、团体组织。</w:t>
      </w:r>
    </w:p>
    <w:p w14:paraId="415B4321">
      <w:pPr>
        <w:numPr>
          <w:ilvl w:val="1"/>
          <w:numId w:val="3"/>
        </w:numPr>
        <w:spacing w:line="360" w:lineRule="auto"/>
        <w:rPr>
          <w:rFonts w:ascii="宋体"/>
          <w:color w:val="000000"/>
          <w:sz w:val="22"/>
          <w:szCs w:val="22"/>
        </w:rPr>
      </w:pPr>
      <w:r>
        <w:rPr>
          <w:rFonts w:hint="eastAsia" w:ascii="宋体" w:hAnsi="宋体" w:cs="宋体"/>
          <w:color w:val="000000"/>
          <w:sz w:val="22"/>
          <w:szCs w:val="22"/>
        </w:rPr>
        <w:t>投标人：是指按招标公告</w:t>
      </w:r>
      <w:r>
        <w:rPr>
          <w:rFonts w:hint="eastAsia" w:ascii="宋体" w:hAnsi="宋体" w:cs="宋体"/>
          <w:color w:val="000000"/>
          <w:sz w:val="22"/>
          <w:szCs w:val="22"/>
          <w:lang w:val="en-US" w:eastAsia="zh-CN"/>
        </w:rPr>
        <w:t>获取</w:t>
      </w:r>
      <w:r>
        <w:rPr>
          <w:rFonts w:hint="eastAsia" w:ascii="宋体" w:hAnsi="宋体" w:cs="宋体"/>
          <w:color w:val="000000"/>
          <w:sz w:val="22"/>
          <w:szCs w:val="22"/>
        </w:rPr>
        <w:t>了招标文件进行投标的供应商。</w:t>
      </w:r>
    </w:p>
    <w:p w14:paraId="5CE1538A">
      <w:pPr>
        <w:numPr>
          <w:ilvl w:val="1"/>
          <w:numId w:val="3"/>
        </w:numPr>
        <w:spacing w:line="360" w:lineRule="auto"/>
        <w:rPr>
          <w:rFonts w:ascii="宋体"/>
          <w:color w:val="000000"/>
          <w:sz w:val="22"/>
          <w:szCs w:val="22"/>
        </w:rPr>
      </w:pPr>
      <w:r>
        <w:rPr>
          <w:rFonts w:hint="eastAsia" w:ascii="宋体" w:hAnsi="宋体" w:cs="宋体"/>
          <w:color w:val="000000"/>
          <w:sz w:val="22"/>
          <w:szCs w:val="22"/>
        </w:rPr>
        <w:t>中标人：指依法确定成交资格并授予合同的投标人。</w:t>
      </w:r>
    </w:p>
    <w:p w14:paraId="306B7265">
      <w:pPr>
        <w:numPr>
          <w:ilvl w:val="1"/>
          <w:numId w:val="3"/>
        </w:numPr>
        <w:spacing w:line="360" w:lineRule="auto"/>
        <w:rPr>
          <w:rFonts w:ascii="宋体"/>
          <w:color w:val="000000"/>
          <w:sz w:val="22"/>
          <w:szCs w:val="22"/>
        </w:rPr>
      </w:pPr>
      <w:r>
        <w:rPr>
          <w:rFonts w:hint="eastAsia" w:ascii="宋体" w:hAnsi="宋体" w:cs="宋体"/>
          <w:color w:val="000000"/>
          <w:sz w:val="22"/>
          <w:szCs w:val="22"/>
        </w:rPr>
        <w:t>招标文件：是指包括项目公告、招标文件以及招标文件的补充、变更和澄清等一系列文件。</w:t>
      </w:r>
    </w:p>
    <w:p w14:paraId="5D42D510">
      <w:pPr>
        <w:numPr>
          <w:ilvl w:val="1"/>
          <w:numId w:val="3"/>
        </w:numPr>
        <w:spacing w:line="360" w:lineRule="auto"/>
        <w:rPr>
          <w:rFonts w:ascii="宋体"/>
          <w:color w:val="000000"/>
          <w:sz w:val="22"/>
          <w:szCs w:val="22"/>
        </w:rPr>
      </w:pPr>
      <w:r>
        <w:rPr>
          <w:rFonts w:hint="eastAsia" w:ascii="宋体" w:hAnsi="宋体" w:cs="宋体"/>
          <w:color w:val="000000"/>
          <w:sz w:val="22"/>
          <w:szCs w:val="22"/>
        </w:rPr>
        <w:t>货物：系指投标人按招标文件要求，向采购人提供的各种形态和种类的物品，包括原材料、设备、产品</w:t>
      </w:r>
      <w:r>
        <w:rPr>
          <w:rFonts w:ascii="宋体" w:hAnsi="宋体" w:cs="宋体"/>
          <w:color w:val="000000"/>
          <w:sz w:val="22"/>
          <w:szCs w:val="22"/>
        </w:rPr>
        <w:t>(</w:t>
      </w:r>
      <w:r>
        <w:rPr>
          <w:rFonts w:hint="eastAsia" w:ascii="宋体" w:hAnsi="宋体" w:cs="宋体"/>
          <w:color w:val="000000"/>
          <w:sz w:val="22"/>
          <w:szCs w:val="22"/>
        </w:rPr>
        <w:t>包括软件</w:t>
      </w:r>
      <w:r>
        <w:rPr>
          <w:rFonts w:ascii="宋体" w:hAnsi="宋体" w:cs="宋体"/>
          <w:color w:val="000000"/>
          <w:sz w:val="22"/>
          <w:szCs w:val="22"/>
        </w:rPr>
        <w:t>)</w:t>
      </w:r>
      <w:r>
        <w:rPr>
          <w:rFonts w:hint="eastAsia" w:ascii="宋体" w:hAnsi="宋体" w:cs="宋体"/>
          <w:color w:val="000000"/>
          <w:sz w:val="22"/>
          <w:szCs w:val="22"/>
        </w:rPr>
        <w:t>及相关的备品备件、工具、手册及其它技术资料和材料。</w:t>
      </w:r>
    </w:p>
    <w:p w14:paraId="13B07C92">
      <w:pPr>
        <w:numPr>
          <w:ilvl w:val="1"/>
          <w:numId w:val="3"/>
        </w:numPr>
        <w:spacing w:line="360" w:lineRule="auto"/>
        <w:rPr>
          <w:rFonts w:ascii="宋体"/>
          <w:color w:val="000000"/>
          <w:sz w:val="22"/>
          <w:szCs w:val="22"/>
        </w:rPr>
      </w:pPr>
      <w:r>
        <w:rPr>
          <w:rFonts w:hint="eastAsia" w:ascii="宋体" w:hAnsi="宋体" w:cs="宋体"/>
          <w:color w:val="000000"/>
          <w:sz w:val="22"/>
          <w:szCs w:val="22"/>
        </w:rPr>
        <w:t>服务：系指招标文件规定投标人须承担的系统集成、安装、调试、技术协助、校准、培训以及其它类似的义务。</w:t>
      </w:r>
    </w:p>
    <w:p w14:paraId="6D95B43E">
      <w:pPr>
        <w:numPr>
          <w:ilvl w:val="1"/>
          <w:numId w:val="3"/>
        </w:numPr>
        <w:spacing w:line="360" w:lineRule="auto"/>
        <w:rPr>
          <w:rFonts w:ascii="宋体"/>
          <w:color w:val="000000"/>
          <w:sz w:val="22"/>
          <w:szCs w:val="22"/>
        </w:rPr>
      </w:pPr>
      <w:r>
        <w:rPr>
          <w:rFonts w:hint="eastAsia" w:ascii="宋体" w:hAnsi="宋体" w:cs="宋体"/>
          <w:sz w:val="22"/>
          <w:szCs w:val="22"/>
        </w:rPr>
        <w:t>偏离：系指投标文件对招标文件的偏离，即不满足、或不响应招标文件的要求。偏离分为对招标文件的实质性要求条款偏离和对招标文件的一般商务和技术条款（参数）偏离。</w:t>
      </w:r>
    </w:p>
    <w:p w14:paraId="4434A8C1">
      <w:pPr>
        <w:numPr>
          <w:ilvl w:val="1"/>
          <w:numId w:val="3"/>
        </w:numPr>
        <w:spacing w:line="360" w:lineRule="auto"/>
        <w:rPr>
          <w:rFonts w:ascii="宋体"/>
          <w:color w:val="000000"/>
          <w:sz w:val="22"/>
          <w:szCs w:val="22"/>
        </w:rPr>
      </w:pPr>
      <w:r>
        <w:rPr>
          <w:rFonts w:hint="eastAsia" w:ascii="宋体" w:hAnsi="宋体" w:cs="宋体"/>
          <w:sz w:val="22"/>
          <w:szCs w:val="22"/>
        </w:rPr>
        <w:t>实质性条款：除法律、法规和规章规定外，招标文件中用“拒绝”、“不接受”、“无效”、“不得”等文字规定或标注“★”符号的条款为实质性要求条款（即重要条款），对其中任何一条的偏离，在评标时将其视为无效投标。未用上述文字规定或符号标注的条款为非实质性要求条款</w:t>
      </w:r>
      <w:r>
        <w:rPr>
          <w:rFonts w:ascii="宋体" w:hAnsi="宋体" w:cs="宋体"/>
          <w:sz w:val="22"/>
          <w:szCs w:val="22"/>
        </w:rPr>
        <w:t>(</w:t>
      </w:r>
      <w:r>
        <w:rPr>
          <w:rFonts w:hint="eastAsia" w:ascii="宋体" w:hAnsi="宋体" w:cs="宋体"/>
          <w:sz w:val="22"/>
          <w:szCs w:val="22"/>
        </w:rPr>
        <w:t>即一般条款</w:t>
      </w:r>
      <w:r>
        <w:rPr>
          <w:rFonts w:ascii="宋体" w:hAnsi="宋体" w:cs="宋体"/>
          <w:sz w:val="22"/>
          <w:szCs w:val="22"/>
        </w:rPr>
        <w:t>)</w:t>
      </w:r>
      <w:r>
        <w:rPr>
          <w:rFonts w:hint="eastAsia" w:ascii="宋体" w:hAnsi="宋体" w:cs="宋体"/>
          <w:sz w:val="22"/>
          <w:szCs w:val="22"/>
        </w:rPr>
        <w:t>。</w:t>
      </w:r>
    </w:p>
    <w:p w14:paraId="30DF054C">
      <w:pPr>
        <w:numPr>
          <w:ilvl w:val="1"/>
          <w:numId w:val="3"/>
        </w:numPr>
        <w:spacing w:line="360" w:lineRule="auto"/>
        <w:rPr>
          <w:rFonts w:ascii="宋体"/>
          <w:color w:val="000000"/>
          <w:sz w:val="22"/>
          <w:szCs w:val="22"/>
        </w:rPr>
      </w:pPr>
      <w:r>
        <w:rPr>
          <w:rFonts w:hint="eastAsia" w:ascii="宋体" w:hAnsi="宋体" w:cs="宋体"/>
          <w:color w:val="000000"/>
          <w:sz w:val="22"/>
          <w:szCs w:val="22"/>
        </w:rPr>
        <w:t>日期、天数、时间：未有特别说明时，均为公历日（天）及北京时间。</w:t>
      </w:r>
    </w:p>
    <w:p w14:paraId="5AA599B2">
      <w:pPr>
        <w:numPr>
          <w:ilvl w:val="0"/>
          <w:numId w:val="3"/>
        </w:numPr>
        <w:spacing w:line="360" w:lineRule="auto"/>
        <w:rPr>
          <w:rFonts w:ascii="宋体"/>
          <w:color w:val="000000"/>
          <w:sz w:val="22"/>
          <w:szCs w:val="22"/>
        </w:rPr>
      </w:pPr>
      <w:r>
        <w:rPr>
          <w:rFonts w:hint="eastAsia" w:ascii="宋体" w:hAnsi="宋体" w:cs="宋体"/>
          <w:color w:val="000000"/>
          <w:sz w:val="22"/>
          <w:szCs w:val="22"/>
        </w:rPr>
        <w:t>投标人资格要求</w:t>
      </w:r>
    </w:p>
    <w:p w14:paraId="41DAD36F">
      <w:pPr>
        <w:numPr>
          <w:ilvl w:val="1"/>
          <w:numId w:val="3"/>
        </w:numPr>
        <w:spacing w:line="360" w:lineRule="auto"/>
        <w:rPr>
          <w:rFonts w:ascii="宋体"/>
          <w:color w:val="000000"/>
          <w:sz w:val="22"/>
          <w:szCs w:val="22"/>
        </w:rPr>
      </w:pPr>
      <w:r>
        <w:rPr>
          <w:rFonts w:hint="eastAsia" w:ascii="宋体" w:hAnsi="宋体" w:cs="宋体"/>
          <w:color w:val="000000"/>
          <w:sz w:val="22"/>
          <w:szCs w:val="22"/>
        </w:rPr>
        <w:t>投标人投标不得存在下列情形之一：</w:t>
      </w:r>
    </w:p>
    <w:p w14:paraId="2E2CE7DD">
      <w:pPr>
        <w:spacing w:line="360" w:lineRule="auto"/>
        <w:ind w:firstLine="440" w:firstLineChars="200"/>
        <w:rPr>
          <w:rFonts w:ascii="宋体"/>
          <w:color w:val="000000"/>
          <w:sz w:val="22"/>
          <w:szCs w:val="22"/>
        </w:rPr>
      </w:pPr>
      <w:r>
        <w:rPr>
          <w:rFonts w:hint="eastAsia" w:ascii="宋体" w:hAnsi="宋体" w:cs="宋体"/>
          <w:color w:val="000000"/>
          <w:sz w:val="22"/>
          <w:szCs w:val="22"/>
        </w:rPr>
        <w:t>（</w:t>
      </w:r>
      <w:r>
        <w:rPr>
          <w:rFonts w:ascii="宋体" w:hAnsi="宋体" w:cs="宋体"/>
          <w:color w:val="000000"/>
          <w:sz w:val="22"/>
          <w:szCs w:val="22"/>
        </w:rPr>
        <w:t>1</w:t>
      </w:r>
      <w:r>
        <w:rPr>
          <w:rFonts w:hint="eastAsia" w:ascii="宋体" w:hAnsi="宋体" w:cs="宋体"/>
          <w:color w:val="000000"/>
          <w:sz w:val="22"/>
          <w:szCs w:val="22"/>
        </w:rPr>
        <w:t>）与采购人或采购代理机构存在隶属关系或者其他利害关系；</w:t>
      </w:r>
    </w:p>
    <w:p w14:paraId="5F1FC690">
      <w:pPr>
        <w:spacing w:line="360" w:lineRule="auto"/>
        <w:ind w:firstLine="440" w:firstLineChars="200"/>
        <w:rPr>
          <w:rFonts w:ascii="宋体"/>
          <w:color w:val="000000"/>
          <w:sz w:val="22"/>
          <w:szCs w:val="22"/>
        </w:rPr>
      </w:pPr>
      <w:r>
        <w:rPr>
          <w:rFonts w:hint="eastAsia" w:ascii="宋体" w:hAnsi="宋体" w:cs="宋体"/>
          <w:color w:val="000000"/>
          <w:sz w:val="22"/>
          <w:szCs w:val="22"/>
        </w:rPr>
        <w:t>（</w:t>
      </w:r>
      <w:r>
        <w:rPr>
          <w:rFonts w:ascii="宋体" w:hAnsi="宋体" w:cs="宋体"/>
          <w:color w:val="000000"/>
          <w:sz w:val="22"/>
          <w:szCs w:val="22"/>
        </w:rPr>
        <w:t>2</w:t>
      </w:r>
      <w:r>
        <w:rPr>
          <w:rFonts w:hint="eastAsia" w:ascii="宋体" w:hAnsi="宋体" w:cs="宋体"/>
          <w:color w:val="000000"/>
          <w:sz w:val="22"/>
          <w:szCs w:val="22"/>
        </w:rPr>
        <w:t>）法定代表人或者负责人为同一人或者存在控股、管理关系的两个以上投标人，不得参加同一政府采购项目同一包（标段）的投标。</w:t>
      </w:r>
    </w:p>
    <w:p w14:paraId="464FE8CE">
      <w:pPr>
        <w:numPr>
          <w:ilvl w:val="1"/>
          <w:numId w:val="3"/>
        </w:numPr>
        <w:spacing w:line="360" w:lineRule="auto"/>
        <w:rPr>
          <w:rFonts w:ascii="宋体"/>
          <w:color w:val="000000"/>
          <w:sz w:val="22"/>
          <w:szCs w:val="22"/>
        </w:rPr>
      </w:pPr>
      <w:r>
        <w:rPr>
          <w:rFonts w:hint="eastAsia" w:ascii="宋体" w:hAnsi="宋体" w:cs="宋体"/>
          <w:color w:val="000000"/>
          <w:sz w:val="22"/>
          <w:szCs w:val="22"/>
        </w:rPr>
        <w:t>投标人免费下载获取了本项目招标文件并非意味着完全满足了合格投标人的条件，一切均以评标委员会审核的结果为准。</w:t>
      </w:r>
    </w:p>
    <w:p w14:paraId="5B23DAE2">
      <w:pPr>
        <w:numPr>
          <w:ilvl w:val="1"/>
          <w:numId w:val="3"/>
        </w:numPr>
        <w:spacing w:line="360" w:lineRule="auto"/>
        <w:rPr>
          <w:rFonts w:ascii="宋体"/>
          <w:b/>
          <w:bCs/>
          <w:color w:val="000000"/>
          <w:sz w:val="22"/>
          <w:szCs w:val="22"/>
        </w:rPr>
      </w:pPr>
      <w:r>
        <w:rPr>
          <w:rFonts w:hint="eastAsia" w:ascii="宋体" w:hAnsi="宋体" w:cs="宋体"/>
          <w:b/>
          <w:bCs/>
          <w:color w:val="000000"/>
          <w:sz w:val="22"/>
          <w:szCs w:val="22"/>
        </w:rPr>
        <w:t>不接受联合体投标。</w:t>
      </w:r>
    </w:p>
    <w:p w14:paraId="0F777DA5">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授权委托</w:t>
      </w:r>
    </w:p>
    <w:p w14:paraId="4FE0C3FB">
      <w:pPr>
        <w:numPr>
          <w:ilvl w:val="1"/>
          <w:numId w:val="3"/>
        </w:numPr>
        <w:spacing w:line="360" w:lineRule="auto"/>
        <w:rPr>
          <w:rFonts w:ascii="宋体"/>
          <w:color w:val="000000"/>
          <w:sz w:val="22"/>
          <w:szCs w:val="22"/>
        </w:rPr>
      </w:pPr>
      <w:r>
        <w:rPr>
          <w:rFonts w:hint="eastAsia" w:ascii="宋体" w:hAnsi="宋体" w:cs="宋体"/>
          <w:color w:val="000000"/>
          <w:sz w:val="22"/>
          <w:szCs w:val="22"/>
        </w:rPr>
        <w:t>投标人代表不是投标人的法定代表人或负责人，应持有授权委托书，并附法定代表人或负责人身份证明</w:t>
      </w:r>
    </w:p>
    <w:p w14:paraId="28592A9F">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投标费用</w:t>
      </w:r>
    </w:p>
    <w:p w14:paraId="0D9E5BB1">
      <w:pPr>
        <w:numPr>
          <w:ilvl w:val="1"/>
          <w:numId w:val="3"/>
        </w:numPr>
        <w:spacing w:line="360" w:lineRule="auto"/>
        <w:rPr>
          <w:rFonts w:ascii="宋体"/>
          <w:color w:val="000000"/>
          <w:sz w:val="22"/>
          <w:szCs w:val="22"/>
        </w:rPr>
      </w:pPr>
      <w:r>
        <w:rPr>
          <w:rFonts w:hint="eastAsia" w:ascii="宋体" w:hAnsi="宋体" w:cs="宋体"/>
          <w:color w:val="000000"/>
          <w:sz w:val="22"/>
          <w:szCs w:val="22"/>
        </w:rPr>
        <w:t>投标人应承担所有与准备和参加投标有关的费用。不论投标的结果如何，集采代理机构和采购人在任何情况下均无义务和责任承担这些费用。</w:t>
      </w:r>
    </w:p>
    <w:p w14:paraId="258700E3">
      <w:pPr>
        <w:numPr>
          <w:ilvl w:val="0"/>
          <w:numId w:val="3"/>
        </w:numPr>
        <w:spacing w:line="360" w:lineRule="auto"/>
        <w:rPr>
          <w:rFonts w:ascii="宋体"/>
          <w:color w:val="000000"/>
          <w:sz w:val="22"/>
          <w:szCs w:val="22"/>
        </w:rPr>
      </w:pPr>
      <w:r>
        <w:rPr>
          <w:rFonts w:hint="eastAsia" w:ascii="宋体" w:hAnsi="宋体" w:cs="宋体"/>
          <w:sz w:val="22"/>
          <w:szCs w:val="22"/>
        </w:rPr>
        <w:t>采购人、采购代理机构在发布招标公告后，除因重大变故采购任务取消情况外，不得擅自终止招标活动。</w:t>
      </w:r>
    </w:p>
    <w:p w14:paraId="035F5BD9">
      <w:pPr>
        <w:numPr>
          <w:ilvl w:val="0"/>
          <w:numId w:val="3"/>
        </w:numPr>
        <w:spacing w:line="360" w:lineRule="auto"/>
        <w:rPr>
          <w:rFonts w:ascii="宋体"/>
          <w:color w:val="000000"/>
          <w:sz w:val="22"/>
          <w:szCs w:val="22"/>
        </w:rPr>
      </w:pPr>
      <w:r>
        <w:rPr>
          <w:rFonts w:hint="eastAsia" w:ascii="宋体" w:hAnsi="宋体" w:cs="宋体"/>
          <w:b/>
          <w:bCs/>
          <w:color w:val="000000"/>
          <w:sz w:val="22"/>
          <w:szCs w:val="22"/>
        </w:rPr>
        <w:t>采购进口产品</w:t>
      </w:r>
    </w:p>
    <w:p w14:paraId="5F4B55A9">
      <w:pPr>
        <w:spacing w:line="360" w:lineRule="auto"/>
        <w:ind w:firstLine="440" w:firstLineChars="200"/>
        <w:rPr>
          <w:rFonts w:ascii="宋体"/>
          <w:color w:val="000000"/>
          <w:sz w:val="22"/>
          <w:szCs w:val="22"/>
        </w:rPr>
      </w:pPr>
      <w:r>
        <w:rPr>
          <w:rFonts w:hint="eastAsia" w:ascii="宋体" w:hAnsi="宋体" w:cs="宋体"/>
          <w:color w:val="000000"/>
          <w:sz w:val="22"/>
          <w:szCs w:val="22"/>
        </w:rPr>
        <w:t>经财政监管部门审核管理，并经进口论证后方可采购进口产品。</w:t>
      </w:r>
    </w:p>
    <w:p w14:paraId="740CCBD2">
      <w:pPr>
        <w:numPr>
          <w:ilvl w:val="0"/>
          <w:numId w:val="3"/>
        </w:numPr>
        <w:spacing w:line="360" w:lineRule="auto"/>
        <w:rPr>
          <w:rFonts w:ascii="宋体"/>
          <w:color w:val="000000"/>
          <w:sz w:val="22"/>
          <w:szCs w:val="22"/>
        </w:rPr>
      </w:pPr>
      <w:r>
        <w:rPr>
          <w:rFonts w:hint="eastAsia" w:ascii="宋体" w:hAnsi="宋体" w:cs="宋体"/>
          <w:b/>
          <w:bCs/>
          <w:color w:val="000000"/>
          <w:sz w:val="22"/>
          <w:szCs w:val="22"/>
        </w:rPr>
        <w:t>节能产品</w:t>
      </w:r>
      <w:r>
        <w:rPr>
          <w:rFonts w:ascii="宋体" w:hAnsi="宋体" w:cs="宋体"/>
          <w:b/>
          <w:bCs/>
          <w:color w:val="000000"/>
          <w:sz w:val="22"/>
          <w:szCs w:val="22"/>
        </w:rPr>
        <w:t xml:space="preserve"> </w:t>
      </w:r>
    </w:p>
    <w:p w14:paraId="108BCD8F">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 xml:space="preserve"> 对政府采购节能产品、环境标志产品实施品目清单管理。依据品目清 单和认证证书，产品属于节能产品政府采购品目清单(财库〔2019〕19 号）中“★” 标注的品目产品，实施政府强制采购。产品属于环境标志产品政府采购品目清单(财库〔2019〕18 号）范围内的品目产品，实施政府优先采购。</w:t>
      </w:r>
    </w:p>
    <w:p w14:paraId="56E2669B">
      <w:pPr>
        <w:pStyle w:val="5"/>
        <w:adjustRightInd/>
        <w:spacing w:before="0" w:after="0" w:line="360" w:lineRule="auto"/>
        <w:jc w:val="center"/>
        <w:textAlignment w:val="auto"/>
        <w:rPr>
          <w:rFonts w:ascii="宋体"/>
          <w:b w:val="0"/>
          <w:bCs w:val="0"/>
          <w:kern w:val="2"/>
          <w:sz w:val="32"/>
          <w:szCs w:val="32"/>
        </w:rPr>
      </w:pPr>
      <w:bookmarkStart w:id="18" w:name="_Toc19037"/>
      <w:bookmarkStart w:id="19" w:name="_Toc19337"/>
      <w:r>
        <w:rPr>
          <w:rFonts w:hint="eastAsia" w:ascii="宋体" w:hAnsi="宋体" w:cs="宋体"/>
          <w:b w:val="0"/>
          <w:bCs w:val="0"/>
          <w:kern w:val="2"/>
          <w:sz w:val="32"/>
          <w:szCs w:val="32"/>
        </w:rPr>
        <w:t>二、招标文件</w:t>
      </w:r>
      <w:bookmarkEnd w:id="18"/>
      <w:bookmarkEnd w:id="19"/>
    </w:p>
    <w:p w14:paraId="76566C12">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招标文件组成</w:t>
      </w:r>
    </w:p>
    <w:p w14:paraId="30621358">
      <w:pPr>
        <w:numPr>
          <w:ilvl w:val="1"/>
          <w:numId w:val="3"/>
        </w:numPr>
        <w:spacing w:line="360" w:lineRule="auto"/>
        <w:rPr>
          <w:rFonts w:ascii="宋体"/>
          <w:color w:val="000000"/>
          <w:sz w:val="22"/>
          <w:szCs w:val="22"/>
        </w:rPr>
      </w:pPr>
      <w:r>
        <w:rPr>
          <w:rFonts w:hint="eastAsia" w:ascii="宋体" w:hAnsi="宋体" w:cs="宋体"/>
          <w:color w:val="000000"/>
          <w:sz w:val="22"/>
          <w:szCs w:val="22"/>
        </w:rPr>
        <w:t>招标文件共分六章，其内容如下：</w:t>
      </w:r>
    </w:p>
    <w:p w14:paraId="0A630C4F">
      <w:pPr>
        <w:spacing w:line="360" w:lineRule="auto"/>
        <w:ind w:firstLine="550" w:firstLineChars="250"/>
        <w:rPr>
          <w:rFonts w:ascii="宋体"/>
          <w:color w:val="000000"/>
          <w:sz w:val="22"/>
          <w:szCs w:val="22"/>
        </w:rPr>
      </w:pPr>
      <w:r>
        <w:rPr>
          <w:rFonts w:hint="eastAsia" w:ascii="宋体" w:hAnsi="宋体" w:cs="宋体"/>
          <w:color w:val="000000"/>
          <w:sz w:val="22"/>
          <w:szCs w:val="22"/>
        </w:rPr>
        <w:t>第一章</w:t>
      </w:r>
      <w:r>
        <w:rPr>
          <w:rFonts w:ascii="宋体" w:hAnsi="宋体" w:cs="宋体"/>
          <w:color w:val="000000"/>
          <w:sz w:val="22"/>
          <w:szCs w:val="22"/>
        </w:rPr>
        <w:t xml:space="preserve"> </w:t>
      </w:r>
      <w:r>
        <w:rPr>
          <w:rFonts w:hint="eastAsia" w:ascii="宋体" w:hAnsi="宋体" w:cs="宋体"/>
          <w:color w:val="000000"/>
          <w:sz w:val="22"/>
          <w:szCs w:val="22"/>
        </w:rPr>
        <w:t>招标公告</w:t>
      </w:r>
    </w:p>
    <w:p w14:paraId="54D7A370">
      <w:pPr>
        <w:spacing w:line="360" w:lineRule="auto"/>
        <w:ind w:firstLine="550" w:firstLineChars="250"/>
        <w:rPr>
          <w:rFonts w:ascii="宋体"/>
          <w:color w:val="000000"/>
          <w:sz w:val="22"/>
          <w:szCs w:val="22"/>
        </w:rPr>
      </w:pPr>
      <w:r>
        <w:rPr>
          <w:rFonts w:hint="eastAsia" w:ascii="宋体" w:hAnsi="宋体" w:cs="宋体"/>
          <w:color w:val="000000"/>
          <w:sz w:val="22"/>
          <w:szCs w:val="22"/>
        </w:rPr>
        <w:t>第二章</w:t>
      </w:r>
      <w:r>
        <w:rPr>
          <w:rFonts w:ascii="宋体" w:hAnsi="宋体" w:cs="宋体"/>
          <w:color w:val="000000"/>
          <w:sz w:val="22"/>
          <w:szCs w:val="22"/>
        </w:rPr>
        <w:t xml:space="preserve"> </w:t>
      </w:r>
      <w:r>
        <w:rPr>
          <w:rFonts w:hint="eastAsia" w:ascii="宋体" w:hAnsi="宋体" w:cs="宋体"/>
          <w:color w:val="000000"/>
          <w:sz w:val="22"/>
          <w:szCs w:val="22"/>
        </w:rPr>
        <w:t>供应商须知及前附表</w:t>
      </w:r>
    </w:p>
    <w:p w14:paraId="2415CFFC">
      <w:pPr>
        <w:spacing w:line="360" w:lineRule="auto"/>
        <w:ind w:firstLine="550" w:firstLineChars="250"/>
        <w:rPr>
          <w:rFonts w:ascii="宋体"/>
          <w:color w:val="000000"/>
          <w:sz w:val="22"/>
          <w:szCs w:val="22"/>
        </w:rPr>
      </w:pPr>
      <w:r>
        <w:rPr>
          <w:rFonts w:hint="eastAsia" w:ascii="宋体" w:hAnsi="宋体" w:cs="宋体"/>
          <w:color w:val="000000"/>
          <w:sz w:val="22"/>
          <w:szCs w:val="22"/>
        </w:rPr>
        <w:t>第三章</w:t>
      </w:r>
      <w:r>
        <w:rPr>
          <w:rFonts w:ascii="宋体" w:hAnsi="宋体" w:cs="宋体"/>
          <w:color w:val="000000"/>
          <w:sz w:val="22"/>
          <w:szCs w:val="22"/>
        </w:rPr>
        <w:t xml:space="preserve"> </w:t>
      </w:r>
      <w:r>
        <w:rPr>
          <w:rFonts w:hint="eastAsia" w:ascii="宋体" w:hAnsi="宋体" w:cs="宋体"/>
          <w:color w:val="000000"/>
          <w:sz w:val="22"/>
          <w:szCs w:val="22"/>
        </w:rPr>
        <w:t>采购需求及要求</w:t>
      </w:r>
    </w:p>
    <w:p w14:paraId="3684BCFF">
      <w:pPr>
        <w:spacing w:line="360" w:lineRule="auto"/>
        <w:ind w:firstLine="550" w:firstLineChars="250"/>
        <w:rPr>
          <w:rFonts w:ascii="宋体"/>
          <w:color w:val="000000"/>
          <w:sz w:val="22"/>
          <w:szCs w:val="22"/>
        </w:rPr>
      </w:pPr>
      <w:r>
        <w:rPr>
          <w:rFonts w:hint="eastAsia" w:ascii="宋体" w:hAnsi="宋体" w:cs="宋体"/>
          <w:color w:val="000000"/>
          <w:sz w:val="22"/>
          <w:szCs w:val="22"/>
        </w:rPr>
        <w:t>第四章</w:t>
      </w:r>
      <w:r>
        <w:rPr>
          <w:rFonts w:ascii="宋体" w:hAnsi="宋体" w:cs="宋体"/>
          <w:color w:val="000000"/>
          <w:sz w:val="22"/>
          <w:szCs w:val="22"/>
        </w:rPr>
        <w:t xml:space="preserve"> </w:t>
      </w:r>
      <w:r>
        <w:rPr>
          <w:rFonts w:hint="eastAsia" w:ascii="宋体" w:hAnsi="宋体" w:cs="宋体"/>
          <w:color w:val="000000"/>
          <w:sz w:val="22"/>
          <w:szCs w:val="22"/>
        </w:rPr>
        <w:t>评标方法及标准</w:t>
      </w:r>
    </w:p>
    <w:p w14:paraId="7516AAC5">
      <w:pPr>
        <w:spacing w:line="360" w:lineRule="auto"/>
        <w:ind w:firstLine="550" w:firstLineChars="250"/>
        <w:rPr>
          <w:rFonts w:ascii="宋体"/>
          <w:color w:val="000000"/>
          <w:sz w:val="22"/>
          <w:szCs w:val="22"/>
        </w:rPr>
      </w:pPr>
      <w:r>
        <w:rPr>
          <w:rFonts w:hint="eastAsia" w:ascii="宋体" w:hAnsi="宋体" w:cs="宋体"/>
          <w:color w:val="000000"/>
          <w:sz w:val="22"/>
          <w:szCs w:val="22"/>
        </w:rPr>
        <w:t>第五章</w:t>
      </w:r>
      <w:r>
        <w:rPr>
          <w:rFonts w:ascii="宋体" w:hAnsi="宋体" w:cs="宋体"/>
          <w:color w:val="000000"/>
          <w:sz w:val="22"/>
          <w:szCs w:val="22"/>
        </w:rPr>
        <w:t xml:space="preserve"> </w:t>
      </w:r>
      <w:r>
        <w:rPr>
          <w:rFonts w:hint="eastAsia" w:ascii="宋体" w:hAnsi="宋体" w:cs="宋体"/>
          <w:color w:val="000000"/>
          <w:sz w:val="22"/>
          <w:szCs w:val="22"/>
        </w:rPr>
        <w:t>投标文件格式</w:t>
      </w:r>
    </w:p>
    <w:p w14:paraId="0790418F">
      <w:pPr>
        <w:spacing w:line="360" w:lineRule="auto"/>
        <w:ind w:firstLine="550" w:firstLineChars="250"/>
        <w:rPr>
          <w:rFonts w:ascii="宋体"/>
          <w:color w:val="000000"/>
          <w:sz w:val="22"/>
          <w:szCs w:val="22"/>
        </w:rPr>
      </w:pPr>
      <w:r>
        <w:rPr>
          <w:rFonts w:hint="eastAsia" w:ascii="宋体" w:hAnsi="宋体" w:cs="宋体"/>
          <w:color w:val="000000"/>
          <w:sz w:val="22"/>
          <w:szCs w:val="22"/>
        </w:rPr>
        <w:t>第六章</w:t>
      </w:r>
      <w:r>
        <w:rPr>
          <w:rFonts w:ascii="宋体" w:hAnsi="宋体" w:cs="宋体"/>
          <w:color w:val="000000"/>
          <w:sz w:val="22"/>
          <w:szCs w:val="22"/>
        </w:rPr>
        <w:t xml:space="preserve"> </w:t>
      </w:r>
      <w:r>
        <w:rPr>
          <w:rFonts w:hint="eastAsia" w:ascii="宋体" w:hAnsi="宋体" w:cs="宋体"/>
          <w:color w:val="000000"/>
          <w:sz w:val="22"/>
          <w:szCs w:val="22"/>
        </w:rPr>
        <w:t>政府采购合同</w:t>
      </w:r>
    </w:p>
    <w:p w14:paraId="3F8D756A">
      <w:pPr>
        <w:numPr>
          <w:ilvl w:val="1"/>
          <w:numId w:val="3"/>
        </w:numPr>
        <w:spacing w:line="360" w:lineRule="auto"/>
        <w:rPr>
          <w:rFonts w:ascii="宋体"/>
          <w:color w:val="000000"/>
          <w:sz w:val="22"/>
          <w:szCs w:val="22"/>
        </w:rPr>
      </w:pPr>
      <w:r>
        <w:rPr>
          <w:rFonts w:hint="eastAsia" w:ascii="宋体" w:hAnsi="宋体" w:cs="宋体"/>
          <w:sz w:val="22"/>
          <w:szCs w:val="22"/>
        </w:rPr>
        <w:t>对招标文件所作的澄清、修改，构成招标文件的组成部分。</w:t>
      </w:r>
    </w:p>
    <w:p w14:paraId="22287CFD">
      <w:pPr>
        <w:numPr>
          <w:ilvl w:val="1"/>
          <w:numId w:val="3"/>
        </w:numPr>
        <w:spacing w:line="360" w:lineRule="auto"/>
        <w:rPr>
          <w:rFonts w:ascii="宋体"/>
          <w:color w:val="000000"/>
          <w:sz w:val="22"/>
          <w:szCs w:val="22"/>
        </w:rPr>
      </w:pPr>
      <w:r>
        <w:rPr>
          <w:rFonts w:hint="eastAsia" w:ascii="宋体" w:hAnsi="宋体" w:cs="宋体"/>
          <w:sz w:val="22"/>
          <w:szCs w:val="22"/>
        </w:rPr>
        <w:t>投标人应仔细阅读招标文件的全部内容，按照招标文件要求编制投标文件。任何对招标文件的忽略或误解不能作为投标文件存在缺陷或瑕疵的理由，其风险由投标人自行承担。</w:t>
      </w:r>
    </w:p>
    <w:p w14:paraId="70BB664C">
      <w:pPr>
        <w:numPr>
          <w:ilvl w:val="1"/>
          <w:numId w:val="3"/>
        </w:numPr>
        <w:spacing w:line="360" w:lineRule="auto"/>
        <w:rPr>
          <w:rFonts w:hint="eastAsia" w:ascii="宋体" w:hAnsi="宋体" w:cs="宋体"/>
          <w:b/>
          <w:bCs/>
          <w:sz w:val="22"/>
          <w:szCs w:val="22"/>
        </w:rPr>
      </w:pPr>
      <w:r>
        <w:rPr>
          <w:rFonts w:hint="eastAsia" w:ascii="宋体" w:hAnsi="宋体" w:cs="宋体"/>
          <w:b/>
          <w:bCs/>
          <w:sz w:val="22"/>
          <w:szCs w:val="22"/>
        </w:rPr>
        <w:t>本招标文件的投标人资格条件、服务内容及要求和评分标准由采购单位提供并负责解释。</w:t>
      </w:r>
    </w:p>
    <w:p w14:paraId="218BA7EA">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招标文件的澄清、修改</w:t>
      </w:r>
    </w:p>
    <w:p w14:paraId="5B0E3889">
      <w:pPr>
        <w:numPr>
          <w:ilvl w:val="1"/>
          <w:numId w:val="3"/>
        </w:numPr>
        <w:spacing w:line="360" w:lineRule="auto"/>
        <w:rPr>
          <w:rFonts w:ascii="宋体"/>
          <w:sz w:val="22"/>
          <w:szCs w:val="22"/>
        </w:rPr>
      </w:pPr>
      <w:r>
        <w:rPr>
          <w:rFonts w:hint="eastAsia" w:ascii="宋体" w:hAnsi="宋体" w:cs="宋体"/>
          <w:sz w:val="22"/>
          <w:szCs w:val="22"/>
        </w:rPr>
        <w:t>采购人或者采购代理机构可以对已发出的招标文件进行必要的澄清或者修改，但不得改变采购标的和资格条件。澄清或者修改应当在原公告发布媒体（甘肃政府采购网、陇南公共资源交易网，下同）上发布澄清公告，并以书面形式通过上传答疑文件通知所有招标文件收受人。该澄清或者修改的内容为招标文件的组成部分。澄清或者修改的内容为招标文件的组成部分。</w:t>
      </w:r>
    </w:p>
    <w:p w14:paraId="473B18CF">
      <w:pPr>
        <w:numPr>
          <w:ilvl w:val="1"/>
          <w:numId w:val="3"/>
        </w:numPr>
        <w:spacing w:line="360" w:lineRule="auto"/>
        <w:rPr>
          <w:rFonts w:ascii="宋体"/>
          <w:color w:val="000000"/>
          <w:sz w:val="22"/>
          <w:szCs w:val="22"/>
        </w:rPr>
      </w:pPr>
      <w:r>
        <w:rPr>
          <w:rFonts w:hint="eastAsia" w:ascii="宋体" w:hAnsi="宋体" w:cs="宋体"/>
          <w:color w:val="000000"/>
          <w:sz w:val="22"/>
          <w:szCs w:val="22"/>
        </w:rPr>
        <w:t>采购人及采购代理机构可以视采购具体情况，延长投标截止时间和开标时间，但至少应当在招标文件要求提交投标文件的截止时间三日前，并在财政部门指定的政府采购信息发布媒体上发布变更公告。</w:t>
      </w:r>
    </w:p>
    <w:p w14:paraId="768D7081">
      <w:pPr>
        <w:numPr>
          <w:ilvl w:val="1"/>
          <w:numId w:val="3"/>
        </w:numPr>
        <w:spacing w:line="360" w:lineRule="auto"/>
        <w:rPr>
          <w:rFonts w:hint="eastAsia" w:ascii="宋体" w:hAnsi="宋体" w:cs="宋体"/>
          <w:b/>
          <w:bCs/>
          <w:color w:val="000000"/>
          <w:sz w:val="22"/>
          <w:szCs w:val="22"/>
        </w:rPr>
      </w:pPr>
      <w:r>
        <w:rPr>
          <w:rFonts w:hint="eastAsia" w:ascii="宋体" w:hAnsi="宋体" w:cs="宋体"/>
          <w:b/>
          <w:bCs/>
          <w:color w:val="000000"/>
          <w:sz w:val="22"/>
          <w:szCs w:val="22"/>
        </w:rPr>
        <w:t>陇南市公共资源交易网采用网上报名的方式，开标前无法获悉潜在投标人名单，请各投标人随时关注甘肃政府采购网、陇南市公共资源交易网本项目相关变更公告、答疑文件及通知，否则由变更引起的相关责任自负。</w:t>
      </w:r>
    </w:p>
    <w:p w14:paraId="3770D5BF">
      <w:pPr>
        <w:pStyle w:val="5"/>
        <w:adjustRightInd/>
        <w:spacing w:before="0" w:after="0" w:line="360" w:lineRule="auto"/>
        <w:jc w:val="center"/>
        <w:textAlignment w:val="auto"/>
        <w:rPr>
          <w:rFonts w:ascii="宋体"/>
          <w:b w:val="0"/>
          <w:bCs w:val="0"/>
          <w:kern w:val="2"/>
          <w:sz w:val="32"/>
          <w:szCs w:val="32"/>
        </w:rPr>
      </w:pPr>
      <w:bookmarkStart w:id="20" w:name="_Toc30862"/>
      <w:bookmarkStart w:id="21" w:name="_Toc10153"/>
      <w:r>
        <w:rPr>
          <w:rFonts w:hint="eastAsia" w:ascii="宋体" w:hAnsi="宋体" w:cs="宋体"/>
          <w:b w:val="0"/>
          <w:bCs w:val="0"/>
          <w:kern w:val="2"/>
          <w:sz w:val="32"/>
          <w:szCs w:val="32"/>
        </w:rPr>
        <w:t>三、投标文件</w:t>
      </w:r>
      <w:bookmarkEnd w:id="20"/>
      <w:bookmarkEnd w:id="21"/>
    </w:p>
    <w:p w14:paraId="42235EF4">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编制原则</w:t>
      </w:r>
    </w:p>
    <w:p w14:paraId="60503532">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投标文件应突出重点，精简扼要。所提供的资料必须符合诚实信用、客观真实的原则，对弄虚作假或违背诚信的违法行为，应承担相应的后果及法律责任。</w:t>
      </w:r>
    </w:p>
    <w:p w14:paraId="78E811D2">
      <w:pPr>
        <w:numPr>
          <w:ilvl w:val="1"/>
          <w:numId w:val="3"/>
        </w:numPr>
        <w:spacing w:line="360" w:lineRule="auto"/>
        <w:rPr>
          <w:rFonts w:ascii="宋体"/>
          <w:color w:val="000000"/>
          <w:sz w:val="22"/>
          <w:szCs w:val="22"/>
        </w:rPr>
      </w:pPr>
      <w:r>
        <w:rPr>
          <w:rFonts w:hint="eastAsia" w:ascii="宋体" w:hAnsi="宋体" w:cs="宋体"/>
          <w:color w:val="000000"/>
          <w:sz w:val="22"/>
          <w:szCs w:val="22"/>
        </w:rPr>
        <w:t>投标人应仔细阅读招标文件的所有内容，按照招标文件的要求提交投标文件。投标文件应对招标文件的要求作出实质性响应，并保证所提供的全部资料的真实性。</w:t>
      </w:r>
    </w:p>
    <w:p w14:paraId="7ABB48C5">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编制要求</w:t>
      </w:r>
    </w:p>
    <w:p w14:paraId="49C5D82E">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投标文件应按照</w:t>
      </w:r>
      <w:r>
        <w:rPr>
          <w:rFonts w:ascii="宋体" w:hAnsi="宋体" w:cs="宋体"/>
          <w:color w:val="000000"/>
          <w:sz w:val="22"/>
          <w:szCs w:val="22"/>
        </w:rPr>
        <w:t xml:space="preserve"> </w:t>
      </w:r>
      <w:r>
        <w:rPr>
          <w:rFonts w:hint="eastAsia" w:ascii="宋体" w:hAnsi="宋体" w:cs="宋体"/>
          <w:color w:val="000000"/>
          <w:sz w:val="22"/>
          <w:szCs w:val="22"/>
        </w:rPr>
        <w:t>“投标文件格式”的要求以</w:t>
      </w:r>
      <w:r>
        <w:rPr>
          <w:rFonts w:ascii="宋体" w:hAnsi="宋体" w:cs="宋体"/>
          <w:color w:val="000000"/>
          <w:sz w:val="22"/>
          <w:szCs w:val="22"/>
        </w:rPr>
        <w:t>A4</w:t>
      </w:r>
      <w:r>
        <w:rPr>
          <w:rFonts w:hint="eastAsia" w:ascii="宋体" w:hAnsi="宋体" w:cs="宋体"/>
          <w:color w:val="000000"/>
          <w:sz w:val="22"/>
          <w:szCs w:val="22"/>
        </w:rPr>
        <w:t>版面统一编制。</w:t>
      </w:r>
    </w:p>
    <w:p w14:paraId="6DA771DC">
      <w:pPr>
        <w:numPr>
          <w:ilvl w:val="1"/>
          <w:numId w:val="3"/>
        </w:numPr>
        <w:spacing w:line="360" w:lineRule="auto"/>
        <w:rPr>
          <w:rFonts w:ascii="宋体"/>
          <w:b/>
          <w:bCs/>
          <w:color w:val="000000"/>
          <w:sz w:val="22"/>
          <w:szCs w:val="22"/>
        </w:rPr>
      </w:pPr>
      <w:r>
        <w:rPr>
          <w:rFonts w:hint="eastAsia" w:ascii="宋体" w:hAnsi="宋体" w:cs="宋体"/>
          <w:b/>
          <w:bCs/>
          <w:color w:val="000000"/>
          <w:sz w:val="22"/>
          <w:szCs w:val="22"/>
        </w:rPr>
        <w:t>对于有特定格式要求的，不允许改动其内容，否则，其投标无效。</w:t>
      </w:r>
    </w:p>
    <w:p w14:paraId="543C88F4">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投标文件的制作，应使用简体中文。</w:t>
      </w:r>
    </w:p>
    <w:p w14:paraId="0DC3707A">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投标文件在加盖投标人公章时，不得使用合同专用章、财务专用章、公司部门章或分支机构章、授权（投标）专用章等代替；否则，投标文件按无效投标处理。</w:t>
      </w:r>
    </w:p>
    <w:p w14:paraId="5681A26A">
      <w:pPr>
        <w:numPr>
          <w:ilvl w:val="1"/>
          <w:numId w:val="3"/>
        </w:numPr>
        <w:spacing w:line="360" w:lineRule="auto"/>
        <w:rPr>
          <w:rFonts w:ascii="宋体"/>
          <w:color w:val="000000"/>
          <w:sz w:val="22"/>
          <w:szCs w:val="22"/>
        </w:rPr>
      </w:pPr>
      <w:r>
        <w:rPr>
          <w:rFonts w:hint="eastAsia" w:ascii="宋体" w:hAnsi="宋体" w:cs="宋体"/>
          <w:color w:val="000000"/>
          <w:sz w:val="22"/>
          <w:szCs w:val="22"/>
        </w:rPr>
        <w:t>任何行间插字、涂改和增删，须由投标人授权代表在旁边签字后方为有效。</w:t>
      </w:r>
    </w:p>
    <w:p w14:paraId="768E49AD">
      <w:pPr>
        <w:numPr>
          <w:ilvl w:val="0"/>
          <w:numId w:val="3"/>
        </w:numPr>
        <w:spacing w:line="360" w:lineRule="auto"/>
        <w:rPr>
          <w:rFonts w:ascii="宋体"/>
          <w:b w:val="0"/>
          <w:bCs w:val="0"/>
          <w:sz w:val="22"/>
          <w:szCs w:val="22"/>
        </w:rPr>
      </w:pPr>
      <w:r>
        <w:rPr>
          <w:rFonts w:hint="eastAsia" w:ascii="宋体" w:hAnsi="宋体" w:cs="宋体"/>
          <w:b w:val="0"/>
          <w:bCs w:val="0"/>
          <w:sz w:val="22"/>
          <w:szCs w:val="22"/>
        </w:rPr>
        <w:t>投标文件的组成</w:t>
      </w:r>
    </w:p>
    <w:p w14:paraId="3A42A6BB">
      <w:pPr>
        <w:spacing w:line="360" w:lineRule="auto"/>
        <w:ind w:left="437" w:leftChars="208" w:firstLine="0" w:firstLineChars="0"/>
        <w:rPr>
          <w:rFonts w:ascii="宋体"/>
          <w:b/>
          <w:bCs/>
          <w:sz w:val="22"/>
          <w:szCs w:val="22"/>
        </w:rPr>
      </w:pPr>
      <w:r>
        <w:rPr>
          <w:rFonts w:hint="eastAsia" w:ascii="宋体" w:hAnsi="宋体" w:cs="宋体"/>
          <w:b/>
          <w:bCs/>
          <w:sz w:val="22"/>
          <w:szCs w:val="22"/>
        </w:rPr>
        <w:t>投标文件由价格文件、商务文件和技术文件三部分组成。（以新点网上不见面开标系统投标文件制作格式为准）</w:t>
      </w:r>
    </w:p>
    <w:p w14:paraId="0F719FCF">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投标报价</w:t>
      </w:r>
    </w:p>
    <w:p w14:paraId="035ADE98">
      <w:pPr>
        <w:numPr>
          <w:ilvl w:val="1"/>
          <w:numId w:val="3"/>
        </w:numPr>
        <w:spacing w:line="360" w:lineRule="auto"/>
        <w:rPr>
          <w:rFonts w:ascii="宋体"/>
          <w:color w:val="000000"/>
          <w:sz w:val="22"/>
          <w:szCs w:val="22"/>
        </w:rPr>
      </w:pPr>
      <w:r>
        <w:rPr>
          <w:rFonts w:hint="eastAsia" w:ascii="宋体" w:hAnsi="宋体" w:cs="宋体"/>
          <w:sz w:val="22"/>
          <w:szCs w:val="22"/>
        </w:rPr>
        <w:t>投标人应按招标文件规定的供货及服务要求、责任范围和合同条件，以人民币进行报价。</w:t>
      </w:r>
    </w:p>
    <w:p w14:paraId="59B3B92F">
      <w:pPr>
        <w:numPr>
          <w:ilvl w:val="1"/>
          <w:numId w:val="3"/>
        </w:numPr>
        <w:spacing w:line="360" w:lineRule="auto"/>
        <w:rPr>
          <w:rFonts w:ascii="宋体"/>
          <w:color w:val="000000"/>
          <w:sz w:val="22"/>
          <w:szCs w:val="22"/>
        </w:rPr>
      </w:pPr>
      <w:r>
        <w:rPr>
          <w:rFonts w:hint="eastAsia" w:ascii="宋体" w:hAnsi="宋体" w:cs="宋体"/>
          <w:sz w:val="22"/>
          <w:szCs w:val="22"/>
        </w:rPr>
        <w:t>投标人应按开标报价一览表和分项价格表的内容和格式要求填写各项货物及服务的分项价格和总价。投标总价中不得包含招标文件要求以外的内容，否则，在评标时不予核减。投标总价中也不得缺漏招标文件所要求的内容，否则，在评标时将其视为无效投标。</w:t>
      </w:r>
    </w:p>
    <w:p w14:paraId="5DF4805D">
      <w:pPr>
        <w:numPr>
          <w:ilvl w:val="1"/>
          <w:numId w:val="3"/>
        </w:numPr>
        <w:spacing w:line="360" w:lineRule="auto"/>
        <w:rPr>
          <w:rFonts w:ascii="宋体"/>
          <w:color w:val="000000"/>
          <w:sz w:val="22"/>
          <w:szCs w:val="22"/>
        </w:rPr>
      </w:pPr>
      <w:r>
        <w:rPr>
          <w:rFonts w:hint="eastAsia" w:ascii="宋体" w:hAnsi="宋体" w:cs="宋体"/>
          <w:sz w:val="22"/>
          <w:szCs w:val="22"/>
        </w:rPr>
        <w:t>投标人对每种货物及服务只允许有一个报价，不接受选择性报价，否则，在评标时将其视为无效投标。</w:t>
      </w:r>
    </w:p>
    <w:p w14:paraId="6C658B78">
      <w:pPr>
        <w:numPr>
          <w:ilvl w:val="1"/>
          <w:numId w:val="3"/>
        </w:numPr>
        <w:spacing w:line="360" w:lineRule="auto"/>
        <w:rPr>
          <w:rFonts w:ascii="宋体"/>
          <w:sz w:val="22"/>
          <w:szCs w:val="22"/>
        </w:rPr>
      </w:pPr>
      <w:r>
        <w:rPr>
          <w:rFonts w:hint="eastAsia" w:ascii="宋体" w:hAnsi="宋体" w:cs="宋体"/>
          <w:sz w:val="22"/>
          <w:szCs w:val="22"/>
        </w:rPr>
        <w:t>投标文件中标明的价格在合同执行过程中是固定不变的，不得以任何理由予以变更。任何包含价格调整要求和条件的投标，在评标时将其视为无效投标。</w:t>
      </w:r>
    </w:p>
    <w:p w14:paraId="29932607">
      <w:pPr>
        <w:numPr>
          <w:ilvl w:val="1"/>
          <w:numId w:val="3"/>
        </w:numPr>
        <w:spacing w:line="360" w:lineRule="auto"/>
        <w:rPr>
          <w:rFonts w:ascii="宋体"/>
          <w:sz w:val="22"/>
          <w:szCs w:val="22"/>
        </w:rPr>
      </w:pPr>
      <w:r>
        <w:rPr>
          <w:rFonts w:hint="eastAsia" w:ascii="宋体" w:hAnsi="宋体" w:cs="宋体"/>
          <w:sz w:val="22"/>
          <w:szCs w:val="22"/>
        </w:rPr>
        <w:t>投标人应根据《采购清单》最终得出总额。</w:t>
      </w:r>
    </w:p>
    <w:p w14:paraId="3E0B12CB">
      <w:pPr>
        <w:numPr>
          <w:ilvl w:val="1"/>
          <w:numId w:val="3"/>
        </w:numPr>
        <w:spacing w:line="360" w:lineRule="auto"/>
        <w:rPr>
          <w:rFonts w:ascii="宋体"/>
          <w:sz w:val="22"/>
          <w:szCs w:val="22"/>
        </w:rPr>
      </w:pPr>
      <w:r>
        <w:rPr>
          <w:rFonts w:hint="eastAsia" w:ascii="宋体" w:hAnsi="宋体" w:cs="宋体"/>
          <w:sz w:val="22"/>
          <w:szCs w:val="22"/>
        </w:rPr>
        <w:t>投标报价应包含产品的安装、维护、售后服务及税金等全部费用。</w:t>
      </w:r>
    </w:p>
    <w:p w14:paraId="05A9D654">
      <w:pPr>
        <w:numPr>
          <w:ilvl w:val="1"/>
          <w:numId w:val="3"/>
        </w:numPr>
        <w:spacing w:line="360" w:lineRule="auto"/>
        <w:rPr>
          <w:rFonts w:ascii="宋体"/>
          <w:sz w:val="22"/>
          <w:szCs w:val="22"/>
        </w:rPr>
      </w:pPr>
      <w:r>
        <w:rPr>
          <w:rFonts w:hint="eastAsia" w:ascii="宋体" w:hAnsi="宋体" w:cs="宋体"/>
          <w:sz w:val="22"/>
          <w:szCs w:val="22"/>
        </w:rPr>
        <w:t>投标人根据招标内容的要求，准确报价，一经报出，不得更改。</w:t>
      </w:r>
    </w:p>
    <w:p w14:paraId="232CA66D">
      <w:pPr>
        <w:numPr>
          <w:ilvl w:val="0"/>
          <w:numId w:val="3"/>
        </w:numPr>
        <w:spacing w:line="360" w:lineRule="auto"/>
        <w:rPr>
          <w:rFonts w:ascii="宋体"/>
          <w:b/>
          <w:bCs/>
          <w:sz w:val="22"/>
          <w:szCs w:val="22"/>
        </w:rPr>
      </w:pPr>
      <w:r>
        <w:rPr>
          <w:rFonts w:hint="eastAsia" w:ascii="宋体" w:hAnsi="宋体" w:cs="宋体"/>
          <w:b/>
          <w:bCs/>
          <w:sz w:val="22"/>
          <w:szCs w:val="22"/>
        </w:rPr>
        <w:t>投标文件报价出现前后不一致的，按照下列规定修正：</w:t>
      </w:r>
      <w:r>
        <w:rPr>
          <w:rFonts w:ascii="宋体" w:hAnsi="宋体" w:cs="宋体"/>
          <w:b/>
          <w:bCs/>
          <w:sz w:val="22"/>
          <w:szCs w:val="22"/>
        </w:rPr>
        <w:t xml:space="preserve"> </w:t>
      </w:r>
    </w:p>
    <w:p w14:paraId="525A595C">
      <w:pPr>
        <w:numPr>
          <w:ilvl w:val="1"/>
          <w:numId w:val="3"/>
        </w:numPr>
        <w:spacing w:line="360" w:lineRule="auto"/>
        <w:rPr>
          <w:rFonts w:hint="eastAsia" w:ascii="宋体" w:hAnsi="宋体" w:cs="宋体"/>
          <w:b/>
          <w:bCs/>
          <w:sz w:val="22"/>
          <w:szCs w:val="22"/>
        </w:rPr>
      </w:pPr>
      <w:r>
        <w:rPr>
          <w:rFonts w:hint="eastAsia" w:ascii="宋体" w:hAnsi="宋体" w:cs="宋体"/>
          <w:sz w:val="22"/>
          <w:szCs w:val="22"/>
        </w:rPr>
        <w:t>投标文件中开标一览表（报价表）内容与投标文件中相应内容不一致的，</w:t>
      </w:r>
      <w:r>
        <w:rPr>
          <w:rFonts w:hint="eastAsia" w:ascii="宋体" w:hAnsi="宋体" w:cs="宋体"/>
          <w:b/>
          <w:bCs/>
          <w:sz w:val="22"/>
          <w:szCs w:val="22"/>
        </w:rPr>
        <w:t>以开标一览表（报价表）为准；</w:t>
      </w:r>
    </w:p>
    <w:p w14:paraId="4BB7CE25">
      <w:pPr>
        <w:numPr>
          <w:ilvl w:val="1"/>
          <w:numId w:val="3"/>
        </w:numPr>
        <w:spacing w:line="360" w:lineRule="auto"/>
        <w:rPr>
          <w:rFonts w:ascii="宋体"/>
          <w:b/>
          <w:bCs/>
          <w:sz w:val="22"/>
          <w:szCs w:val="22"/>
        </w:rPr>
      </w:pPr>
      <w:r>
        <w:rPr>
          <w:rFonts w:hint="eastAsia" w:ascii="宋体" w:hAnsi="宋体" w:cs="宋体"/>
          <w:sz w:val="22"/>
          <w:szCs w:val="22"/>
        </w:rPr>
        <w:t>大写金额和小写金额不一致的，</w:t>
      </w:r>
      <w:r>
        <w:rPr>
          <w:rFonts w:hint="eastAsia" w:ascii="宋体" w:hAnsi="宋体" w:cs="宋体"/>
          <w:b/>
          <w:bCs/>
          <w:sz w:val="22"/>
          <w:szCs w:val="22"/>
        </w:rPr>
        <w:t>以大写金额为准；</w:t>
      </w:r>
      <w:r>
        <w:rPr>
          <w:rFonts w:ascii="宋体" w:hAnsi="宋体" w:cs="宋体"/>
          <w:b/>
          <w:bCs/>
          <w:sz w:val="22"/>
          <w:szCs w:val="22"/>
        </w:rPr>
        <w:t xml:space="preserve"> </w:t>
      </w:r>
    </w:p>
    <w:p w14:paraId="37EBB495">
      <w:pPr>
        <w:numPr>
          <w:ilvl w:val="1"/>
          <w:numId w:val="3"/>
        </w:numPr>
        <w:spacing w:line="360" w:lineRule="auto"/>
        <w:rPr>
          <w:rFonts w:ascii="宋体"/>
          <w:sz w:val="22"/>
          <w:szCs w:val="22"/>
        </w:rPr>
      </w:pPr>
      <w:r>
        <w:rPr>
          <w:rFonts w:hint="eastAsia" w:ascii="宋体" w:hAnsi="宋体" w:cs="宋体"/>
          <w:sz w:val="22"/>
          <w:szCs w:val="22"/>
        </w:rPr>
        <w:t>单价金额小数点或者百分比有明显错位的，以开标一览表的总价为准，并修改单价；</w:t>
      </w:r>
      <w:r>
        <w:rPr>
          <w:rFonts w:ascii="宋体" w:hAnsi="宋体" w:cs="宋体"/>
          <w:sz w:val="22"/>
          <w:szCs w:val="22"/>
        </w:rPr>
        <w:t xml:space="preserve"> </w:t>
      </w:r>
    </w:p>
    <w:p w14:paraId="5083456C">
      <w:pPr>
        <w:numPr>
          <w:ilvl w:val="1"/>
          <w:numId w:val="3"/>
        </w:numPr>
        <w:spacing w:line="360" w:lineRule="auto"/>
        <w:rPr>
          <w:rFonts w:ascii="宋体"/>
          <w:sz w:val="22"/>
          <w:szCs w:val="22"/>
        </w:rPr>
      </w:pPr>
      <w:r>
        <w:rPr>
          <w:rFonts w:hint="eastAsia" w:ascii="宋体" w:hAnsi="宋体" w:cs="宋体"/>
          <w:sz w:val="22"/>
          <w:szCs w:val="22"/>
        </w:rPr>
        <w:t>总价金额与按单价汇总金额不一致的，以单价金额计算结果为准。</w:t>
      </w:r>
      <w:r>
        <w:rPr>
          <w:rFonts w:ascii="宋体" w:hAnsi="宋体" w:cs="宋体"/>
          <w:sz w:val="22"/>
          <w:szCs w:val="22"/>
        </w:rPr>
        <w:t xml:space="preserve"> </w:t>
      </w:r>
    </w:p>
    <w:p w14:paraId="5D5EC883">
      <w:pPr>
        <w:numPr>
          <w:ilvl w:val="1"/>
          <w:numId w:val="3"/>
        </w:numPr>
        <w:spacing w:line="360" w:lineRule="auto"/>
        <w:rPr>
          <w:rFonts w:ascii="宋体"/>
          <w:sz w:val="22"/>
          <w:szCs w:val="22"/>
        </w:rPr>
      </w:pPr>
      <w:r>
        <w:rPr>
          <w:rFonts w:hint="eastAsia" w:ascii="宋体" w:hAnsi="宋体" w:cs="宋体"/>
          <w:sz w:val="22"/>
          <w:szCs w:val="22"/>
        </w:rPr>
        <w:t>同时出现两种以上不一致的，按照前款规定的顺序修正，投标人不确认的，其投标无效。</w:t>
      </w:r>
      <w:r>
        <w:rPr>
          <w:rFonts w:ascii="宋体" w:hAnsi="宋体" w:cs="宋体"/>
          <w:sz w:val="22"/>
          <w:szCs w:val="22"/>
        </w:rPr>
        <w:t xml:space="preserve"> </w:t>
      </w:r>
    </w:p>
    <w:p w14:paraId="16481B38">
      <w:pPr>
        <w:numPr>
          <w:ilvl w:val="1"/>
          <w:numId w:val="3"/>
        </w:numPr>
        <w:spacing w:line="360" w:lineRule="auto"/>
        <w:rPr>
          <w:rFonts w:ascii="宋体"/>
          <w:sz w:val="22"/>
          <w:szCs w:val="22"/>
        </w:rPr>
      </w:pPr>
      <w:r>
        <w:rPr>
          <w:rFonts w:hint="eastAsia" w:ascii="宋体" w:hAnsi="宋体" w:cs="宋体"/>
          <w:sz w:val="22"/>
          <w:szCs w:val="22"/>
        </w:rPr>
        <w:t>投标人在报价时，价格包含一切税费，未作说明的情况下，视同包含一切税费。</w:t>
      </w:r>
    </w:p>
    <w:p w14:paraId="5540C6CC">
      <w:pPr>
        <w:numPr>
          <w:ilvl w:val="1"/>
          <w:numId w:val="3"/>
        </w:numPr>
        <w:spacing w:line="360" w:lineRule="auto"/>
        <w:rPr>
          <w:rFonts w:ascii="宋体"/>
          <w:color w:val="000000"/>
          <w:sz w:val="22"/>
          <w:szCs w:val="22"/>
        </w:rPr>
      </w:pPr>
      <w:r>
        <w:rPr>
          <w:rFonts w:hint="eastAsia" w:ascii="宋体" w:hAnsi="宋体" w:cs="宋体"/>
          <w:sz w:val="22"/>
          <w:szCs w:val="22"/>
        </w:rPr>
        <w:t>未宣读的投标价格信息，评标时不予承认。</w:t>
      </w:r>
    </w:p>
    <w:p w14:paraId="156E428A">
      <w:pPr>
        <w:numPr>
          <w:ilvl w:val="0"/>
          <w:numId w:val="3"/>
        </w:numPr>
        <w:spacing w:line="360" w:lineRule="auto"/>
        <w:rPr>
          <w:rFonts w:ascii="宋体"/>
          <w:color w:val="000000"/>
          <w:sz w:val="22"/>
          <w:szCs w:val="22"/>
        </w:rPr>
      </w:pPr>
      <w:r>
        <w:rPr>
          <w:rFonts w:hint="eastAsia" w:ascii="宋体" w:hAnsi="宋体" w:cs="宋体"/>
          <w:b/>
          <w:bCs/>
          <w:sz w:val="22"/>
          <w:szCs w:val="22"/>
        </w:rPr>
        <w:t>备选方案</w:t>
      </w:r>
    </w:p>
    <w:p w14:paraId="12C13579">
      <w:pPr>
        <w:numPr>
          <w:ilvl w:val="1"/>
          <w:numId w:val="3"/>
        </w:numPr>
        <w:spacing w:line="360" w:lineRule="auto"/>
        <w:rPr>
          <w:rFonts w:ascii="宋体"/>
          <w:b w:val="0"/>
          <w:bCs w:val="0"/>
          <w:color w:val="000000"/>
          <w:sz w:val="22"/>
          <w:szCs w:val="22"/>
        </w:rPr>
      </w:pPr>
      <w:r>
        <w:rPr>
          <w:rFonts w:hint="eastAsia" w:ascii="宋体" w:hAnsi="宋体" w:cs="宋体"/>
          <w:b w:val="0"/>
          <w:bCs w:val="0"/>
          <w:sz w:val="22"/>
          <w:szCs w:val="22"/>
        </w:rPr>
        <w:t>本采购项目不接受备选方案投标。</w:t>
      </w:r>
    </w:p>
    <w:p w14:paraId="6C05A7A0">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投标人的资格证明文件</w:t>
      </w:r>
    </w:p>
    <w:p w14:paraId="3A42B16A">
      <w:pPr>
        <w:numPr>
          <w:ilvl w:val="1"/>
          <w:numId w:val="3"/>
        </w:numPr>
        <w:spacing w:line="360" w:lineRule="auto"/>
        <w:rPr>
          <w:rFonts w:ascii="宋体"/>
          <w:b/>
          <w:bCs/>
          <w:color w:val="000000"/>
          <w:sz w:val="22"/>
          <w:szCs w:val="22"/>
        </w:rPr>
      </w:pPr>
      <w:r>
        <w:rPr>
          <w:rFonts w:hint="eastAsia" w:ascii="宋体" w:hAnsi="宋体" w:cs="宋体"/>
          <w:sz w:val="22"/>
          <w:szCs w:val="22"/>
        </w:rPr>
        <w:t>投标人应提交满足资格条件要求的证明文件</w:t>
      </w:r>
      <w:r>
        <w:rPr>
          <w:rFonts w:ascii="宋体" w:cs="宋体"/>
          <w:sz w:val="22"/>
          <w:szCs w:val="22"/>
        </w:rPr>
        <w:t>,</w:t>
      </w:r>
      <w:r>
        <w:rPr>
          <w:rFonts w:hint="eastAsia" w:ascii="宋体" w:hAnsi="宋体" w:cs="宋体"/>
          <w:sz w:val="22"/>
          <w:szCs w:val="22"/>
        </w:rPr>
        <w:t>该证明文件作为投标文件的一部分。</w:t>
      </w:r>
    </w:p>
    <w:p w14:paraId="6A8495C8">
      <w:pPr>
        <w:numPr>
          <w:ilvl w:val="0"/>
          <w:numId w:val="3"/>
        </w:numPr>
        <w:spacing w:line="360" w:lineRule="auto"/>
        <w:rPr>
          <w:rFonts w:ascii="宋体"/>
          <w:b/>
          <w:bCs/>
          <w:color w:val="000000"/>
          <w:sz w:val="22"/>
          <w:szCs w:val="22"/>
        </w:rPr>
      </w:pPr>
      <w:r>
        <w:rPr>
          <w:rFonts w:hint="eastAsia" w:ascii="宋体" w:hAnsi="宋体" w:cs="宋体"/>
          <w:b/>
          <w:bCs/>
          <w:sz w:val="22"/>
          <w:szCs w:val="22"/>
        </w:rPr>
        <w:t>投标有效期</w:t>
      </w:r>
    </w:p>
    <w:p w14:paraId="34FA8D1B">
      <w:pPr>
        <w:numPr>
          <w:ilvl w:val="1"/>
          <w:numId w:val="3"/>
        </w:numPr>
        <w:spacing w:line="360" w:lineRule="auto"/>
        <w:rPr>
          <w:rFonts w:ascii="宋体"/>
          <w:b/>
          <w:bCs/>
          <w:color w:val="000000"/>
          <w:sz w:val="22"/>
          <w:szCs w:val="22"/>
        </w:rPr>
      </w:pPr>
      <w:r>
        <w:rPr>
          <w:rFonts w:hint="eastAsia" w:ascii="宋体" w:hAnsi="宋体" w:cs="宋体"/>
          <w:sz w:val="22"/>
          <w:szCs w:val="22"/>
        </w:rPr>
        <w:t>投标有效期为</w:t>
      </w:r>
      <w:r>
        <w:rPr>
          <w:rFonts w:ascii="宋体" w:hAnsi="宋体" w:cs="宋体"/>
          <w:sz w:val="22"/>
          <w:szCs w:val="22"/>
        </w:rPr>
        <w:t>60</w:t>
      </w:r>
      <w:r>
        <w:rPr>
          <w:rFonts w:hint="eastAsia" w:ascii="宋体" w:hAnsi="宋体" w:cs="宋体"/>
          <w:sz w:val="22"/>
          <w:szCs w:val="22"/>
        </w:rPr>
        <w:t>天，在此期间投标文件对投标人具有法律约束力，以保证采购人有足够的时间完成评标、定标以及签订合同。投标有效期从规定的投标截止之日起计算。</w:t>
      </w:r>
      <w:r>
        <w:rPr>
          <w:rFonts w:hint="eastAsia" w:ascii="宋体" w:hAnsi="宋体" w:cs="宋体"/>
          <w:b/>
          <w:bCs/>
          <w:sz w:val="22"/>
          <w:szCs w:val="22"/>
        </w:rPr>
        <w:t>投标有效期不足的，在评标时将其视为无效投标。</w:t>
      </w:r>
    </w:p>
    <w:p w14:paraId="7EC2A65A">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投标文件签署、盖章</w:t>
      </w:r>
    </w:p>
    <w:p w14:paraId="31C08BDD">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投标文件应按照规定的格式填报，且必须编制详细目录，并逐页标注连续页码，其纸张大小统一规定为</w:t>
      </w:r>
      <w:r>
        <w:rPr>
          <w:rFonts w:ascii="宋体" w:hAnsi="宋体" w:cs="宋体"/>
          <w:color w:val="000000"/>
          <w:sz w:val="22"/>
          <w:szCs w:val="22"/>
        </w:rPr>
        <w:t>A4</w:t>
      </w:r>
      <w:r>
        <w:rPr>
          <w:rFonts w:hint="eastAsia" w:ascii="宋体" w:hAnsi="宋体" w:cs="宋体"/>
          <w:color w:val="000000"/>
          <w:sz w:val="22"/>
          <w:szCs w:val="22"/>
        </w:rPr>
        <w:t>。</w:t>
      </w:r>
      <w:r>
        <w:rPr>
          <w:rFonts w:ascii="宋体" w:hAnsi="宋体" w:cs="宋体"/>
          <w:color w:val="000000"/>
          <w:sz w:val="22"/>
          <w:szCs w:val="22"/>
        </w:rPr>
        <w:t xml:space="preserve"> </w:t>
      </w:r>
    </w:p>
    <w:p w14:paraId="722BD65F">
      <w:pPr>
        <w:numPr>
          <w:ilvl w:val="1"/>
          <w:numId w:val="3"/>
        </w:numPr>
        <w:spacing w:line="360" w:lineRule="auto"/>
        <w:rPr>
          <w:rFonts w:ascii="宋体"/>
          <w:b/>
          <w:bCs/>
          <w:color w:val="000000"/>
          <w:sz w:val="22"/>
          <w:szCs w:val="22"/>
        </w:rPr>
      </w:pPr>
      <w:r>
        <w:rPr>
          <w:rFonts w:hint="eastAsia" w:ascii="宋体" w:hAnsi="宋体" w:cs="宋体"/>
          <w:color w:val="000000"/>
          <w:sz w:val="22"/>
          <w:szCs w:val="22"/>
        </w:rPr>
        <w:t>投标文件正本中除要求由投标人法定代表人或被授权人签字的内容必须签字、盖章，否则按无效投标处理。</w:t>
      </w:r>
    </w:p>
    <w:p w14:paraId="32B71FB8">
      <w:pPr>
        <w:pStyle w:val="5"/>
        <w:adjustRightInd/>
        <w:spacing w:before="0" w:after="0" w:line="360" w:lineRule="auto"/>
        <w:jc w:val="center"/>
        <w:textAlignment w:val="auto"/>
        <w:rPr>
          <w:rFonts w:ascii="宋体"/>
          <w:b w:val="0"/>
          <w:bCs w:val="0"/>
          <w:kern w:val="2"/>
          <w:sz w:val="32"/>
          <w:szCs w:val="32"/>
        </w:rPr>
      </w:pPr>
      <w:bookmarkStart w:id="22" w:name="_Toc5052"/>
      <w:bookmarkStart w:id="23" w:name="_Toc14574"/>
      <w:r>
        <w:rPr>
          <w:rFonts w:hint="eastAsia" w:ascii="宋体" w:hAnsi="宋体" w:cs="宋体"/>
          <w:b w:val="0"/>
          <w:bCs w:val="0"/>
          <w:kern w:val="2"/>
          <w:sz w:val="32"/>
          <w:szCs w:val="32"/>
        </w:rPr>
        <w:t>四、投标文件的递交</w:t>
      </w:r>
      <w:bookmarkEnd w:id="22"/>
      <w:bookmarkEnd w:id="23"/>
    </w:p>
    <w:p w14:paraId="5399D235">
      <w:pPr>
        <w:spacing w:line="360" w:lineRule="auto"/>
        <w:rPr>
          <w:rFonts w:ascii="宋体"/>
          <w:color w:val="000000"/>
          <w:sz w:val="22"/>
          <w:szCs w:val="22"/>
        </w:rPr>
      </w:pPr>
    </w:p>
    <w:p w14:paraId="184BF69D">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投标文件的递交</w:t>
      </w:r>
    </w:p>
    <w:p w14:paraId="612E305D">
      <w:pPr>
        <w:numPr>
          <w:ilvl w:val="1"/>
          <w:numId w:val="3"/>
        </w:numPr>
        <w:spacing w:line="360" w:lineRule="auto"/>
        <w:rPr>
          <w:rFonts w:ascii="宋体"/>
          <w:color w:val="000000"/>
          <w:sz w:val="22"/>
          <w:szCs w:val="22"/>
        </w:rPr>
      </w:pPr>
      <w:r>
        <w:rPr>
          <w:rFonts w:hint="eastAsia" w:ascii="宋体" w:hAnsi="宋体" w:cs="宋体"/>
          <w:sz w:val="22"/>
          <w:szCs w:val="22"/>
        </w:rPr>
        <w:t>投标文件必须在投标截止时间之前上传到指定的地点。</w:t>
      </w:r>
    </w:p>
    <w:p w14:paraId="440A4B8C">
      <w:pPr>
        <w:numPr>
          <w:ilvl w:val="1"/>
          <w:numId w:val="3"/>
        </w:numPr>
        <w:spacing w:line="360" w:lineRule="auto"/>
        <w:rPr>
          <w:rFonts w:ascii="宋体"/>
          <w:sz w:val="22"/>
          <w:szCs w:val="22"/>
        </w:rPr>
      </w:pPr>
      <w:r>
        <w:rPr>
          <w:rFonts w:hint="eastAsia" w:ascii="宋体" w:hAnsi="宋体" w:cs="宋体"/>
          <w:sz w:val="22"/>
          <w:szCs w:val="22"/>
        </w:rPr>
        <w:t>未提交招标文件规定的资格证明文件和其他文件的，其投标文件拒绝接收。</w:t>
      </w:r>
    </w:p>
    <w:p w14:paraId="06CF2C28">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投标文件未按照招标文件规定要求签署、盖章的，其投标文件拒绝接收。</w:t>
      </w:r>
    </w:p>
    <w:p w14:paraId="17C05D1F">
      <w:pPr>
        <w:numPr>
          <w:ilvl w:val="1"/>
          <w:numId w:val="3"/>
        </w:numPr>
        <w:spacing w:line="360" w:lineRule="auto"/>
        <w:rPr>
          <w:rFonts w:ascii="宋体"/>
          <w:color w:val="000000"/>
          <w:sz w:val="22"/>
          <w:szCs w:val="22"/>
        </w:rPr>
      </w:pPr>
      <w:r>
        <w:rPr>
          <w:rFonts w:hint="eastAsia" w:ascii="宋体" w:hAnsi="宋体" w:cs="宋体"/>
          <w:color w:val="000000"/>
          <w:sz w:val="22"/>
          <w:szCs w:val="22"/>
        </w:rPr>
        <w:t>未参加投标报名的，其投标文件拒绝接收。</w:t>
      </w:r>
    </w:p>
    <w:p w14:paraId="25DADBE0">
      <w:pPr>
        <w:numPr>
          <w:ilvl w:val="1"/>
          <w:numId w:val="3"/>
        </w:numPr>
        <w:spacing w:line="360" w:lineRule="auto"/>
        <w:rPr>
          <w:rFonts w:ascii="宋体"/>
          <w:b w:val="0"/>
          <w:bCs w:val="0"/>
          <w:color w:val="000000"/>
          <w:sz w:val="22"/>
          <w:szCs w:val="22"/>
        </w:rPr>
      </w:pPr>
      <w:r>
        <w:rPr>
          <w:rFonts w:hint="eastAsia" w:ascii="宋体" w:hAnsi="宋体" w:cs="宋体"/>
          <w:b w:val="0"/>
          <w:bCs w:val="0"/>
          <w:color w:val="000000"/>
          <w:sz w:val="22"/>
          <w:szCs w:val="22"/>
        </w:rPr>
        <w:t>投标人名称与投标报名时的名称不一致者且未提供有效证明的，其投标文件拒绝接收。</w:t>
      </w:r>
    </w:p>
    <w:p w14:paraId="6EFE315E">
      <w:pPr>
        <w:numPr>
          <w:ilvl w:val="0"/>
          <w:numId w:val="3"/>
        </w:numPr>
        <w:tabs>
          <w:tab w:val="left" w:pos="567"/>
          <w:tab w:val="clear" w:pos="425"/>
        </w:tabs>
        <w:spacing w:line="360" w:lineRule="auto"/>
        <w:rPr>
          <w:rFonts w:ascii="宋体"/>
          <w:b/>
          <w:bCs/>
          <w:sz w:val="24"/>
          <w:szCs w:val="24"/>
        </w:rPr>
      </w:pPr>
      <w:r>
        <w:rPr>
          <w:rFonts w:hint="eastAsia" w:ascii="宋体" w:hAnsi="宋体" w:cs="宋体"/>
          <w:b/>
          <w:bCs/>
          <w:sz w:val="24"/>
          <w:szCs w:val="24"/>
        </w:rPr>
        <w:t>投标文件的修改和撤回</w:t>
      </w:r>
    </w:p>
    <w:p w14:paraId="19F49F03">
      <w:pPr>
        <w:numPr>
          <w:ilvl w:val="1"/>
          <w:numId w:val="3"/>
        </w:numPr>
        <w:spacing w:line="360" w:lineRule="auto"/>
        <w:rPr>
          <w:rFonts w:ascii="宋体"/>
          <w:b/>
          <w:bCs/>
          <w:sz w:val="22"/>
          <w:szCs w:val="22"/>
        </w:rPr>
      </w:pPr>
      <w:r>
        <w:rPr>
          <w:rFonts w:hint="eastAsia" w:ascii="宋体" w:hAnsi="宋体" w:cs="宋体"/>
          <w:sz w:val="22"/>
          <w:szCs w:val="22"/>
        </w:rPr>
        <w:t>投标人在投标截止时间前，可以对所递交的投标文件进行补充、修改或者撤回，并书面通知采购人或者采购代理机构。补充、修改的内容应当按照招标文件要求签署、盖章后，作为投标文件的组成部分。</w:t>
      </w:r>
    </w:p>
    <w:p w14:paraId="1B0A4FAE">
      <w:pPr>
        <w:numPr>
          <w:ilvl w:val="1"/>
          <w:numId w:val="3"/>
        </w:numPr>
        <w:spacing w:line="360" w:lineRule="auto"/>
        <w:rPr>
          <w:rFonts w:ascii="宋体"/>
          <w:b/>
          <w:bCs/>
          <w:sz w:val="22"/>
          <w:szCs w:val="22"/>
        </w:rPr>
      </w:pPr>
      <w:r>
        <w:rPr>
          <w:rFonts w:hint="eastAsia" w:ascii="宋体" w:hAnsi="宋体" w:cs="宋体"/>
          <w:sz w:val="22"/>
          <w:szCs w:val="22"/>
        </w:rPr>
        <w:t>修改、补充的内容为投标文件的组成部分。修改、补充的投标文件应按规定编制、签署、标记和递交，并标明“修改、补充”字样。</w:t>
      </w:r>
    </w:p>
    <w:p w14:paraId="44A4B166">
      <w:pPr>
        <w:pStyle w:val="5"/>
        <w:adjustRightInd/>
        <w:spacing w:before="0" w:after="0" w:line="360" w:lineRule="auto"/>
        <w:jc w:val="center"/>
        <w:textAlignment w:val="auto"/>
        <w:rPr>
          <w:rFonts w:ascii="宋体"/>
          <w:b w:val="0"/>
          <w:bCs w:val="0"/>
          <w:kern w:val="2"/>
          <w:sz w:val="32"/>
          <w:szCs w:val="32"/>
        </w:rPr>
      </w:pPr>
      <w:bookmarkStart w:id="24" w:name="_Toc22310"/>
      <w:bookmarkStart w:id="25" w:name="_Toc3678"/>
      <w:r>
        <w:rPr>
          <w:rFonts w:hint="eastAsia" w:ascii="宋体" w:hAnsi="宋体" w:cs="宋体"/>
          <w:b w:val="0"/>
          <w:bCs w:val="0"/>
          <w:kern w:val="2"/>
          <w:sz w:val="32"/>
          <w:szCs w:val="32"/>
        </w:rPr>
        <w:t>五、开标、评标与定标</w:t>
      </w:r>
      <w:bookmarkEnd w:id="24"/>
      <w:bookmarkEnd w:id="25"/>
    </w:p>
    <w:p w14:paraId="61A26B2C">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开标</w:t>
      </w:r>
    </w:p>
    <w:p w14:paraId="57E14EE9">
      <w:pPr>
        <w:spacing w:line="360" w:lineRule="auto"/>
        <w:ind w:firstLine="643" w:firstLineChars="200"/>
        <w:rPr>
          <w:rFonts w:ascii="宋体"/>
          <w:b/>
          <w:bCs/>
          <w:sz w:val="32"/>
          <w:szCs w:val="32"/>
        </w:rPr>
      </w:pPr>
      <w:r>
        <w:rPr>
          <w:rFonts w:hint="eastAsia" w:ascii="宋体" w:hAnsi="宋体" w:cs="宋体"/>
          <w:b/>
          <w:bCs/>
          <w:sz w:val="32"/>
          <w:szCs w:val="32"/>
        </w:rPr>
        <w:t>本项目招投标流程以现行电子开标程序为主（登录陇南市公共资源交易网首页“下载中心”，下载政府采购全流程电子化开评标系统操作手册）。</w:t>
      </w:r>
    </w:p>
    <w:p w14:paraId="064B0E77">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评标</w:t>
      </w:r>
    </w:p>
    <w:p w14:paraId="375AF70D">
      <w:pPr>
        <w:numPr>
          <w:ilvl w:val="1"/>
          <w:numId w:val="3"/>
        </w:numPr>
        <w:spacing w:line="360" w:lineRule="auto"/>
        <w:rPr>
          <w:rFonts w:ascii="宋体"/>
          <w:sz w:val="22"/>
          <w:szCs w:val="22"/>
        </w:rPr>
      </w:pPr>
      <w:r>
        <w:rPr>
          <w:rFonts w:hint="eastAsia" w:ascii="宋体" w:hAnsi="宋体" w:cs="宋体"/>
          <w:sz w:val="22"/>
          <w:szCs w:val="22"/>
        </w:rPr>
        <w:t>开标前半小时，采购人将立即组织评标委员会（以下简称评委会）进行评标。</w:t>
      </w:r>
    </w:p>
    <w:p w14:paraId="79813D3C">
      <w:pPr>
        <w:numPr>
          <w:ilvl w:val="0"/>
          <w:numId w:val="0"/>
        </w:numPr>
        <w:spacing w:line="360" w:lineRule="auto"/>
        <w:ind w:leftChars="0"/>
        <w:rPr>
          <w:rFonts w:ascii="宋体"/>
          <w:sz w:val="22"/>
          <w:szCs w:val="22"/>
        </w:rPr>
      </w:pPr>
      <w:r>
        <w:rPr>
          <w:rFonts w:hint="eastAsia" w:ascii="宋体" w:hAnsi="宋体" w:cs="宋体"/>
          <w:sz w:val="22"/>
          <w:szCs w:val="22"/>
        </w:rPr>
        <w:t>评委会由行业专家、采购人代表组成，且人员构成符合相关规定。</w:t>
      </w:r>
    </w:p>
    <w:p w14:paraId="28524762">
      <w:pPr>
        <w:spacing w:line="360" w:lineRule="auto"/>
        <w:ind w:firstLine="440" w:firstLineChars="200"/>
        <w:rPr>
          <w:rFonts w:ascii="宋体"/>
          <w:b w:val="0"/>
          <w:bCs w:val="0"/>
          <w:sz w:val="22"/>
          <w:szCs w:val="22"/>
        </w:rPr>
      </w:pPr>
      <w:r>
        <w:rPr>
          <w:rFonts w:hint="eastAsia" w:ascii="宋体" w:hAnsi="宋体" w:cs="宋体"/>
          <w:sz w:val="22"/>
          <w:szCs w:val="22"/>
        </w:rPr>
        <w:t>评标由采购人依法组建的评标委员会负责。评标委员会由有关技术、经济等方面的专家</w:t>
      </w:r>
      <w:r>
        <w:rPr>
          <w:rFonts w:hint="eastAsia" w:ascii="宋体" w:hAnsi="宋体" w:cs="宋体"/>
          <w:sz w:val="22"/>
          <w:szCs w:val="22"/>
          <w:lang w:eastAsia="zh-CN"/>
        </w:rPr>
        <w:t>以</w:t>
      </w:r>
      <w:r>
        <w:rPr>
          <w:rFonts w:hint="eastAsia" w:ascii="宋体" w:hAnsi="宋体" w:cs="宋体"/>
          <w:sz w:val="22"/>
          <w:szCs w:val="22"/>
        </w:rPr>
        <w:t>单数组成，评标专家从陇南市公共资源交易中心评标专家库中随机抽取产生。</w:t>
      </w:r>
      <w:r>
        <w:rPr>
          <w:rFonts w:hint="eastAsia" w:ascii="宋体" w:hAnsi="宋体" w:cs="宋体"/>
          <w:b w:val="0"/>
          <w:bCs w:val="0"/>
          <w:sz w:val="22"/>
          <w:szCs w:val="22"/>
        </w:rPr>
        <w:t>采购人代表须出具采购单位的授权函。</w:t>
      </w:r>
    </w:p>
    <w:p w14:paraId="3D82FA14">
      <w:pPr>
        <w:numPr>
          <w:ilvl w:val="1"/>
          <w:numId w:val="3"/>
        </w:numPr>
        <w:spacing w:line="360" w:lineRule="auto"/>
        <w:rPr>
          <w:rFonts w:ascii="宋体"/>
          <w:sz w:val="22"/>
          <w:szCs w:val="22"/>
        </w:rPr>
      </w:pPr>
      <w:r>
        <w:rPr>
          <w:rFonts w:hint="eastAsia" w:ascii="宋体" w:hAnsi="宋体" w:cs="宋体"/>
          <w:sz w:val="22"/>
          <w:szCs w:val="22"/>
        </w:rPr>
        <w:t>评标委员会负责具体评标事务，并独立履行下列职责：</w:t>
      </w:r>
    </w:p>
    <w:p w14:paraId="18B9FD2B">
      <w:pPr>
        <w:numPr>
          <w:ilvl w:val="0"/>
          <w:numId w:val="4"/>
        </w:numPr>
        <w:tabs>
          <w:tab w:val="left" w:pos="567"/>
        </w:tabs>
        <w:spacing w:line="360" w:lineRule="auto"/>
        <w:rPr>
          <w:rFonts w:ascii="宋体"/>
          <w:sz w:val="22"/>
          <w:szCs w:val="22"/>
        </w:rPr>
      </w:pPr>
      <w:r>
        <w:rPr>
          <w:rFonts w:hint="eastAsia" w:ascii="宋体" w:hAnsi="宋体" w:cs="宋体"/>
          <w:sz w:val="22"/>
          <w:szCs w:val="22"/>
        </w:rPr>
        <w:t>审查、评价投标文件是否符合招标文件的商务、技术等实质性要求；</w:t>
      </w:r>
      <w:r>
        <w:rPr>
          <w:rFonts w:ascii="宋体" w:hAnsi="宋体" w:cs="宋体"/>
          <w:sz w:val="22"/>
          <w:szCs w:val="22"/>
        </w:rPr>
        <w:t xml:space="preserve"> </w:t>
      </w:r>
    </w:p>
    <w:p w14:paraId="53E968DA">
      <w:pPr>
        <w:numPr>
          <w:ilvl w:val="0"/>
          <w:numId w:val="4"/>
        </w:numPr>
        <w:tabs>
          <w:tab w:val="left" w:pos="567"/>
        </w:tabs>
        <w:spacing w:line="360" w:lineRule="auto"/>
        <w:rPr>
          <w:rFonts w:ascii="宋体"/>
          <w:sz w:val="22"/>
          <w:szCs w:val="22"/>
        </w:rPr>
      </w:pPr>
      <w:r>
        <w:rPr>
          <w:rFonts w:hint="eastAsia" w:ascii="宋体" w:hAnsi="宋体" w:cs="宋体"/>
          <w:sz w:val="22"/>
          <w:szCs w:val="22"/>
        </w:rPr>
        <w:t>要求投标人对投标文件有关事项作出澄清或者说明；</w:t>
      </w:r>
      <w:r>
        <w:rPr>
          <w:rFonts w:ascii="宋体" w:hAnsi="宋体" w:cs="宋体"/>
          <w:sz w:val="22"/>
          <w:szCs w:val="22"/>
        </w:rPr>
        <w:t xml:space="preserve"> </w:t>
      </w:r>
    </w:p>
    <w:p w14:paraId="4F98A39B">
      <w:pPr>
        <w:tabs>
          <w:tab w:val="left" w:pos="567"/>
        </w:tabs>
        <w:spacing w:line="360" w:lineRule="auto"/>
        <w:ind w:firstLine="440" w:firstLineChars="200"/>
        <w:rPr>
          <w:rFonts w:ascii="宋体"/>
          <w:sz w:val="22"/>
          <w:szCs w:val="22"/>
        </w:rPr>
      </w:pPr>
      <w:r>
        <w:rPr>
          <w:rFonts w:hint="eastAsia" w:ascii="宋体" w:hAnsi="宋体" w:cs="宋体"/>
          <w:sz w:val="22"/>
          <w:szCs w:val="22"/>
        </w:rPr>
        <w:t>（三）对投标文件进行比较和评价；</w:t>
      </w:r>
      <w:r>
        <w:rPr>
          <w:rFonts w:ascii="宋体" w:hAnsi="宋体" w:cs="宋体"/>
          <w:sz w:val="22"/>
          <w:szCs w:val="22"/>
        </w:rPr>
        <w:t xml:space="preserve"> </w:t>
      </w:r>
    </w:p>
    <w:p w14:paraId="42F5C48D">
      <w:pPr>
        <w:tabs>
          <w:tab w:val="left" w:pos="567"/>
        </w:tabs>
        <w:spacing w:line="360" w:lineRule="auto"/>
        <w:ind w:firstLine="440" w:firstLineChars="200"/>
        <w:rPr>
          <w:rFonts w:ascii="宋体"/>
          <w:sz w:val="22"/>
          <w:szCs w:val="22"/>
        </w:rPr>
      </w:pPr>
      <w:r>
        <w:rPr>
          <w:rFonts w:hint="eastAsia" w:ascii="宋体" w:hAnsi="宋体" w:cs="宋体"/>
          <w:sz w:val="22"/>
          <w:szCs w:val="22"/>
        </w:rPr>
        <w:t>（四）确定中标候选人名单，以及根据采购人委托直接确定中标人；</w:t>
      </w:r>
      <w:r>
        <w:rPr>
          <w:rFonts w:ascii="宋体" w:hAnsi="宋体" w:cs="宋体"/>
          <w:sz w:val="22"/>
          <w:szCs w:val="22"/>
        </w:rPr>
        <w:t xml:space="preserve"> </w:t>
      </w:r>
    </w:p>
    <w:p w14:paraId="1375383B">
      <w:pPr>
        <w:tabs>
          <w:tab w:val="left" w:pos="567"/>
        </w:tabs>
        <w:spacing w:line="360" w:lineRule="auto"/>
        <w:ind w:firstLine="440" w:firstLineChars="200"/>
        <w:rPr>
          <w:rFonts w:ascii="宋体"/>
          <w:sz w:val="22"/>
          <w:szCs w:val="22"/>
        </w:rPr>
      </w:pPr>
      <w:r>
        <w:rPr>
          <w:rFonts w:hint="eastAsia" w:ascii="宋体" w:hAnsi="宋体" w:cs="宋体"/>
          <w:sz w:val="22"/>
          <w:szCs w:val="22"/>
        </w:rPr>
        <w:t>（五）向采购人、采购代理机构或者有关部门报告评标中发现的违法行为。</w:t>
      </w:r>
    </w:p>
    <w:p w14:paraId="41F7FC14">
      <w:pPr>
        <w:numPr>
          <w:ilvl w:val="1"/>
          <w:numId w:val="3"/>
        </w:numPr>
        <w:tabs>
          <w:tab w:val="left" w:pos="425"/>
        </w:tabs>
        <w:spacing w:line="360" w:lineRule="auto"/>
        <w:rPr>
          <w:rFonts w:ascii="宋体"/>
          <w:b/>
          <w:bCs/>
          <w:sz w:val="22"/>
          <w:szCs w:val="22"/>
        </w:rPr>
      </w:pPr>
      <w:r>
        <w:rPr>
          <w:rFonts w:ascii="宋体" w:hAnsi="宋体" w:cs="宋体"/>
          <w:sz w:val="22"/>
          <w:szCs w:val="22"/>
        </w:rPr>
        <w:t xml:space="preserve"> </w:t>
      </w:r>
      <w:r>
        <w:rPr>
          <w:rFonts w:hint="eastAsia" w:ascii="宋体" w:hAnsi="宋体" w:cs="宋体"/>
          <w:sz w:val="22"/>
          <w:szCs w:val="22"/>
        </w:rPr>
        <w:t>评标委员会成员与投标人存在利害关系的，应当回避。</w:t>
      </w:r>
    </w:p>
    <w:p w14:paraId="43DE2487">
      <w:pPr>
        <w:numPr>
          <w:ilvl w:val="1"/>
          <w:numId w:val="3"/>
        </w:numPr>
        <w:spacing w:line="360" w:lineRule="auto"/>
        <w:rPr>
          <w:rFonts w:ascii="宋体"/>
          <w:b/>
          <w:bCs/>
          <w:sz w:val="22"/>
          <w:szCs w:val="22"/>
        </w:rPr>
      </w:pPr>
      <w:r>
        <w:rPr>
          <w:rFonts w:hint="eastAsia" w:ascii="宋体" w:hAnsi="宋体" w:cs="宋体"/>
          <w:sz w:val="22"/>
          <w:szCs w:val="22"/>
        </w:rPr>
        <w:t>评标委员会应当对符合资格的投标人的投标文件进行符合性审查，以确定其是否满足招标文件的实质性要求。</w:t>
      </w:r>
    </w:p>
    <w:p w14:paraId="7937929C">
      <w:pPr>
        <w:numPr>
          <w:ilvl w:val="1"/>
          <w:numId w:val="3"/>
        </w:numPr>
        <w:spacing w:line="360" w:lineRule="auto"/>
        <w:rPr>
          <w:rFonts w:ascii="宋体"/>
          <w:b/>
          <w:bCs/>
          <w:sz w:val="22"/>
          <w:szCs w:val="22"/>
        </w:rPr>
      </w:pPr>
      <w:r>
        <w:rPr>
          <w:rFonts w:hint="eastAsia" w:ascii="宋体" w:hAnsi="宋体" w:cs="宋体"/>
          <w:sz w:val="22"/>
          <w:szCs w:val="22"/>
        </w:rPr>
        <w:t>评标委员会应当按照招标文件中规定的评标方法和标准，对符合性审查合格的投标文件进行商务和技术评估，综合比较与评价。</w:t>
      </w:r>
    </w:p>
    <w:p w14:paraId="7729E0B0">
      <w:pPr>
        <w:numPr>
          <w:ilvl w:val="1"/>
          <w:numId w:val="3"/>
        </w:numPr>
        <w:spacing w:line="360" w:lineRule="auto"/>
        <w:rPr>
          <w:rFonts w:ascii="宋体"/>
          <w:sz w:val="22"/>
          <w:szCs w:val="22"/>
        </w:rPr>
      </w:pPr>
      <w:r>
        <w:rPr>
          <w:rFonts w:hint="eastAsia" w:ascii="宋体" w:hAnsi="宋体" w:cs="宋体"/>
          <w:sz w:val="22"/>
          <w:szCs w:val="22"/>
        </w:rPr>
        <w:t>评委会应以科学、公正的态度参加评审工作并推荐中标候选人。评审专家在评审过程中不受任何干扰，独立、负责地提出评审意见，并对自己的评审意见承担责任。</w:t>
      </w:r>
    </w:p>
    <w:p w14:paraId="4EC864A4">
      <w:pPr>
        <w:numPr>
          <w:ilvl w:val="1"/>
          <w:numId w:val="3"/>
        </w:numPr>
        <w:spacing w:line="360" w:lineRule="auto"/>
        <w:rPr>
          <w:rFonts w:ascii="宋体"/>
          <w:sz w:val="22"/>
          <w:szCs w:val="22"/>
        </w:rPr>
      </w:pPr>
      <w:r>
        <w:rPr>
          <w:rFonts w:hint="eastAsia" w:ascii="宋体" w:hAnsi="宋体" w:cs="宋体"/>
          <w:sz w:val="22"/>
          <w:szCs w:val="22"/>
        </w:rPr>
        <w:t>评委会将对投标人的商业、技术秘密予以保密。</w:t>
      </w:r>
    </w:p>
    <w:p w14:paraId="5C8E2143">
      <w:pPr>
        <w:numPr>
          <w:ilvl w:val="1"/>
          <w:numId w:val="3"/>
        </w:numPr>
        <w:spacing w:line="360" w:lineRule="auto"/>
        <w:rPr>
          <w:rFonts w:ascii="宋体"/>
          <w:sz w:val="22"/>
          <w:szCs w:val="22"/>
        </w:rPr>
      </w:pPr>
      <w:r>
        <w:rPr>
          <w:rFonts w:hint="eastAsia" w:ascii="宋体" w:hAnsi="宋体" w:cs="宋体"/>
          <w:sz w:val="22"/>
          <w:szCs w:val="22"/>
        </w:rPr>
        <w:t>评标时，评标委员会各成员应当独立对每个投标人的投标文件进行评价，并汇总每个投标人的得分。</w:t>
      </w:r>
    </w:p>
    <w:p w14:paraId="442B042C">
      <w:pPr>
        <w:numPr>
          <w:ilvl w:val="1"/>
          <w:numId w:val="3"/>
        </w:numPr>
        <w:spacing w:line="360" w:lineRule="auto"/>
        <w:rPr>
          <w:rFonts w:ascii="宋体"/>
          <w:sz w:val="22"/>
          <w:szCs w:val="22"/>
        </w:rPr>
      </w:pPr>
      <w:r>
        <w:rPr>
          <w:rFonts w:hint="eastAsia" w:ascii="宋体" w:hAnsi="宋体" w:cs="宋体"/>
          <w:sz w:val="22"/>
          <w:szCs w:val="2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0BD63CF">
      <w:pPr>
        <w:numPr>
          <w:ilvl w:val="1"/>
          <w:numId w:val="3"/>
        </w:numPr>
        <w:spacing w:line="360" w:lineRule="auto"/>
        <w:rPr>
          <w:rFonts w:ascii="宋体"/>
          <w:sz w:val="22"/>
          <w:szCs w:val="22"/>
        </w:rPr>
      </w:pPr>
      <w:r>
        <w:rPr>
          <w:rFonts w:hint="eastAsia" w:ascii="宋体" w:hAnsi="宋体" w:cs="宋体"/>
          <w:sz w:val="22"/>
          <w:szCs w:val="22"/>
        </w:rPr>
        <w:t>评标结果汇总完成后，除下列情形外，任何人不得修改评标结果：</w:t>
      </w:r>
      <w:r>
        <w:rPr>
          <w:rFonts w:ascii="宋体" w:hAnsi="宋体" w:cs="宋体"/>
          <w:sz w:val="22"/>
          <w:szCs w:val="22"/>
        </w:rPr>
        <w:t xml:space="preserve"> </w:t>
      </w:r>
    </w:p>
    <w:p w14:paraId="76C100A8">
      <w:pPr>
        <w:numPr>
          <w:ilvl w:val="0"/>
          <w:numId w:val="5"/>
        </w:numPr>
        <w:tabs>
          <w:tab w:val="left" w:pos="567"/>
        </w:tabs>
        <w:spacing w:line="360" w:lineRule="auto"/>
        <w:rPr>
          <w:rFonts w:ascii="宋体"/>
          <w:sz w:val="22"/>
          <w:szCs w:val="22"/>
        </w:rPr>
      </w:pPr>
      <w:r>
        <w:rPr>
          <w:rFonts w:hint="eastAsia" w:ascii="宋体" w:hAnsi="宋体" w:cs="宋体"/>
          <w:sz w:val="22"/>
          <w:szCs w:val="22"/>
        </w:rPr>
        <w:t>分值汇总计算错误的；</w:t>
      </w:r>
    </w:p>
    <w:p w14:paraId="6962F5B5">
      <w:pPr>
        <w:numPr>
          <w:ilvl w:val="0"/>
          <w:numId w:val="5"/>
        </w:numPr>
        <w:tabs>
          <w:tab w:val="left" w:pos="567"/>
        </w:tabs>
        <w:spacing w:line="360" w:lineRule="auto"/>
        <w:rPr>
          <w:rFonts w:ascii="宋体"/>
          <w:sz w:val="22"/>
          <w:szCs w:val="22"/>
        </w:rPr>
      </w:pPr>
      <w:r>
        <w:rPr>
          <w:rFonts w:hint="eastAsia" w:ascii="宋体" w:hAnsi="宋体" w:cs="宋体"/>
          <w:sz w:val="22"/>
          <w:szCs w:val="22"/>
        </w:rPr>
        <w:t>分项评分超出评分标准范围的；</w:t>
      </w:r>
    </w:p>
    <w:p w14:paraId="31D5E856">
      <w:pPr>
        <w:numPr>
          <w:ilvl w:val="0"/>
          <w:numId w:val="5"/>
        </w:numPr>
        <w:tabs>
          <w:tab w:val="left" w:pos="567"/>
        </w:tabs>
        <w:spacing w:line="360" w:lineRule="auto"/>
        <w:rPr>
          <w:rFonts w:ascii="宋体"/>
          <w:sz w:val="22"/>
          <w:szCs w:val="22"/>
        </w:rPr>
      </w:pPr>
      <w:r>
        <w:rPr>
          <w:rFonts w:hint="eastAsia" w:ascii="宋体" w:hAnsi="宋体" w:cs="宋体"/>
          <w:sz w:val="22"/>
          <w:szCs w:val="22"/>
        </w:rPr>
        <w:t>评标委员会成员对客观评审因素评分不一致的；</w:t>
      </w:r>
    </w:p>
    <w:p w14:paraId="7BD84878">
      <w:pPr>
        <w:numPr>
          <w:ilvl w:val="0"/>
          <w:numId w:val="5"/>
        </w:numPr>
        <w:tabs>
          <w:tab w:val="left" w:pos="567"/>
        </w:tabs>
        <w:spacing w:line="360" w:lineRule="auto"/>
        <w:rPr>
          <w:rFonts w:ascii="宋体"/>
          <w:sz w:val="22"/>
          <w:szCs w:val="22"/>
        </w:rPr>
      </w:pPr>
      <w:r>
        <w:rPr>
          <w:rFonts w:hint="eastAsia" w:ascii="宋体" w:hAnsi="宋体" w:cs="宋体"/>
          <w:sz w:val="22"/>
          <w:szCs w:val="22"/>
        </w:rPr>
        <w:t>经评标委员会认定评分畸高、畸低的。</w:t>
      </w:r>
    </w:p>
    <w:p w14:paraId="66ACF6F5">
      <w:pPr>
        <w:tabs>
          <w:tab w:val="left" w:pos="567"/>
        </w:tabs>
        <w:spacing w:line="360" w:lineRule="auto"/>
        <w:ind w:left="630"/>
        <w:rPr>
          <w:rFonts w:ascii="宋体"/>
          <w:sz w:val="22"/>
          <w:szCs w:val="22"/>
        </w:rPr>
      </w:pPr>
      <w:r>
        <w:rPr>
          <w:rFonts w:hint="eastAsia" w:ascii="宋体" w:hAnsi="宋体" w:cs="宋体"/>
          <w:sz w:val="22"/>
          <w:szCs w:val="2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B1A2D1B">
      <w:pPr>
        <w:tabs>
          <w:tab w:val="left" w:pos="567"/>
        </w:tabs>
        <w:spacing w:line="360" w:lineRule="auto"/>
        <w:ind w:left="630"/>
        <w:rPr>
          <w:rFonts w:ascii="宋体"/>
          <w:sz w:val="22"/>
          <w:szCs w:val="22"/>
        </w:rPr>
      </w:pPr>
      <w:r>
        <w:rPr>
          <w:rFonts w:hint="eastAsia" w:ascii="宋体" w:hAnsi="宋体" w:cs="宋体"/>
          <w:sz w:val="22"/>
          <w:szCs w:val="22"/>
        </w:rPr>
        <w:t>投标人对本条第一款情形提出质疑的，采购人或者采购代理机构可以组织原评标委员会进行重新评审，重新评审改变评标结果的，应当书面报告本级财政部门。</w:t>
      </w:r>
      <w:r>
        <w:rPr>
          <w:rFonts w:ascii="宋体" w:hAnsi="宋体" w:cs="宋体"/>
          <w:sz w:val="22"/>
          <w:szCs w:val="22"/>
        </w:rPr>
        <w:t xml:space="preserve"> </w:t>
      </w:r>
    </w:p>
    <w:p w14:paraId="6EB35EE5">
      <w:pPr>
        <w:numPr>
          <w:ilvl w:val="0"/>
          <w:numId w:val="3"/>
        </w:numPr>
        <w:tabs>
          <w:tab w:val="left" w:pos="567"/>
          <w:tab w:val="clear" w:pos="425"/>
        </w:tabs>
        <w:spacing w:line="360" w:lineRule="auto"/>
        <w:rPr>
          <w:rFonts w:ascii="宋体"/>
          <w:b/>
          <w:bCs/>
          <w:sz w:val="24"/>
          <w:szCs w:val="24"/>
        </w:rPr>
      </w:pPr>
      <w:r>
        <w:rPr>
          <w:rFonts w:hint="eastAsia" w:ascii="宋体" w:hAnsi="宋体" w:cs="宋体"/>
          <w:b/>
          <w:bCs/>
          <w:sz w:val="24"/>
          <w:szCs w:val="24"/>
        </w:rPr>
        <w:t>评标过程的保密与公正</w:t>
      </w:r>
    </w:p>
    <w:p w14:paraId="5F4B72A6">
      <w:pPr>
        <w:numPr>
          <w:ilvl w:val="1"/>
          <w:numId w:val="3"/>
        </w:numPr>
        <w:spacing w:line="360" w:lineRule="auto"/>
        <w:rPr>
          <w:rFonts w:ascii="宋体"/>
          <w:sz w:val="22"/>
          <w:szCs w:val="22"/>
        </w:rPr>
      </w:pPr>
      <w:r>
        <w:rPr>
          <w:rFonts w:hint="eastAsia" w:ascii="宋体" w:hAnsi="宋体" w:cs="宋体"/>
          <w:sz w:val="22"/>
          <w:szCs w:val="22"/>
        </w:rPr>
        <w:t>公开开标后，直至向中标的投标人授予合同时止，凡是与审查、澄清、评价和比较投标的有关资料以及授标建议等，均不得向投标或与评标无关的其他人员透露。</w:t>
      </w:r>
    </w:p>
    <w:p w14:paraId="3A05963A">
      <w:pPr>
        <w:numPr>
          <w:ilvl w:val="1"/>
          <w:numId w:val="3"/>
        </w:numPr>
        <w:spacing w:line="360" w:lineRule="auto"/>
        <w:rPr>
          <w:rFonts w:ascii="宋体"/>
          <w:sz w:val="22"/>
          <w:szCs w:val="22"/>
        </w:rPr>
      </w:pPr>
      <w:r>
        <w:rPr>
          <w:rFonts w:hint="eastAsia" w:ascii="宋体" w:hAnsi="宋体" w:cs="宋体"/>
          <w:sz w:val="22"/>
          <w:szCs w:val="22"/>
        </w:rPr>
        <w:t>评标委员会成员名单在评标结果公告前应当保密。</w:t>
      </w:r>
    </w:p>
    <w:p w14:paraId="31D5159C">
      <w:pPr>
        <w:numPr>
          <w:ilvl w:val="1"/>
          <w:numId w:val="3"/>
        </w:numPr>
        <w:spacing w:line="360" w:lineRule="auto"/>
        <w:rPr>
          <w:rFonts w:ascii="宋体"/>
          <w:sz w:val="22"/>
          <w:szCs w:val="22"/>
        </w:rPr>
      </w:pPr>
      <w:r>
        <w:rPr>
          <w:rFonts w:hint="eastAsia" w:ascii="宋体" w:hAnsi="宋体" w:cs="宋体"/>
          <w:sz w:val="22"/>
          <w:szCs w:val="22"/>
        </w:rPr>
        <w:t>陇南市公共资源交易中心保证评标在严格保密的情况下进行。除采购人代表、评标现场组织人员外，采购人的其他工作人员以及与评标工作无关的人员不得进入评标现场。</w:t>
      </w:r>
    </w:p>
    <w:p w14:paraId="44DCB2A2">
      <w:pPr>
        <w:numPr>
          <w:ilvl w:val="0"/>
          <w:numId w:val="3"/>
        </w:numPr>
        <w:tabs>
          <w:tab w:val="left" w:pos="567"/>
          <w:tab w:val="clear" w:pos="425"/>
        </w:tabs>
        <w:spacing w:line="360" w:lineRule="auto"/>
        <w:rPr>
          <w:rFonts w:ascii="宋体"/>
          <w:b/>
          <w:bCs/>
          <w:sz w:val="24"/>
          <w:szCs w:val="24"/>
        </w:rPr>
      </w:pPr>
      <w:r>
        <w:rPr>
          <w:rFonts w:hint="eastAsia" w:ascii="宋体" w:hAnsi="宋体" w:cs="宋体"/>
          <w:b/>
          <w:bCs/>
          <w:sz w:val="24"/>
          <w:szCs w:val="24"/>
        </w:rPr>
        <w:t>投标文件的澄清</w:t>
      </w:r>
    </w:p>
    <w:p w14:paraId="706AE843">
      <w:pPr>
        <w:numPr>
          <w:ilvl w:val="1"/>
          <w:numId w:val="3"/>
        </w:numPr>
        <w:spacing w:line="360" w:lineRule="auto"/>
        <w:rPr>
          <w:rFonts w:ascii="宋体"/>
          <w:sz w:val="22"/>
          <w:szCs w:val="22"/>
        </w:rPr>
      </w:pPr>
      <w:r>
        <w:rPr>
          <w:rFonts w:hint="eastAsia" w:ascii="宋体" w:hAnsi="宋体" w:cs="宋体"/>
          <w:sz w:val="22"/>
          <w:szCs w:val="22"/>
        </w:rPr>
        <w:t>对于投标文件中含义不明确、同类问题表述不一致或者有明显文字和计算错误的内容，评标委员会应当以书面形式要求投标人作出必要的澄清、说明或者补正。</w:t>
      </w:r>
      <w:r>
        <w:rPr>
          <w:rFonts w:ascii="宋体" w:hAnsi="宋体" w:cs="宋体"/>
          <w:sz w:val="22"/>
          <w:szCs w:val="22"/>
        </w:rPr>
        <w:t xml:space="preserve"> </w:t>
      </w:r>
    </w:p>
    <w:p w14:paraId="65D684BE">
      <w:pPr>
        <w:numPr>
          <w:ilvl w:val="1"/>
          <w:numId w:val="3"/>
        </w:numPr>
        <w:spacing w:line="360" w:lineRule="auto"/>
        <w:rPr>
          <w:rFonts w:ascii="宋体"/>
          <w:b/>
          <w:bCs/>
          <w:sz w:val="22"/>
          <w:szCs w:val="22"/>
        </w:rPr>
      </w:pPr>
      <w:r>
        <w:rPr>
          <w:rFonts w:hint="eastAsia" w:ascii="宋体" w:hAnsi="宋体" w:cs="宋体"/>
          <w:sz w:val="22"/>
          <w:szCs w:val="22"/>
        </w:rPr>
        <w:t>投标人的澄清、说明或者补正应当采用书面形式，并加盖公章，或者由法定代表人或其授权的代表签字。投标人的澄清、说明或者补正不得超出投标文件的范围或者改变投标文件的实质性内容。</w:t>
      </w:r>
      <w:r>
        <w:rPr>
          <w:rFonts w:ascii="宋体" w:hAnsi="宋体" w:cs="宋体"/>
          <w:b/>
          <w:bCs/>
          <w:sz w:val="22"/>
          <w:szCs w:val="22"/>
        </w:rPr>
        <w:t xml:space="preserve"> </w:t>
      </w:r>
    </w:p>
    <w:p w14:paraId="0E46D2F3">
      <w:pPr>
        <w:numPr>
          <w:ilvl w:val="1"/>
          <w:numId w:val="3"/>
        </w:numPr>
        <w:spacing w:line="360" w:lineRule="auto"/>
        <w:rPr>
          <w:rFonts w:ascii="宋体"/>
          <w:sz w:val="22"/>
          <w:szCs w:val="22"/>
        </w:rPr>
      </w:pPr>
      <w:r>
        <w:rPr>
          <w:rFonts w:hint="eastAsia" w:ascii="宋体" w:hAnsi="宋体" w:cs="宋体"/>
          <w:sz w:val="22"/>
          <w:szCs w:val="22"/>
        </w:rPr>
        <w:t>接到评委会澄清要求的投标人应派人按评委会通知的时间和地点做出书面澄清，书面澄清的内容须由投标法定代表人或授权代表签署，并作为投标文件的补充部分，但投标的价格和实质性的内容不得做任何更改。</w:t>
      </w:r>
    </w:p>
    <w:p w14:paraId="46257244">
      <w:pPr>
        <w:numPr>
          <w:ilvl w:val="1"/>
          <w:numId w:val="3"/>
        </w:numPr>
        <w:spacing w:line="360" w:lineRule="auto"/>
        <w:rPr>
          <w:rFonts w:ascii="宋体"/>
          <w:sz w:val="22"/>
          <w:szCs w:val="22"/>
        </w:rPr>
      </w:pPr>
      <w:r>
        <w:rPr>
          <w:rFonts w:hint="eastAsia" w:ascii="宋体" w:hAnsi="宋体" w:cs="宋体"/>
          <w:sz w:val="22"/>
          <w:szCs w:val="22"/>
        </w:rPr>
        <w:t>接到评委会澄清要求的投标人如未按规定做出澄清，视为自动放弃，由投标人自行承担相关责任。</w:t>
      </w:r>
    </w:p>
    <w:p w14:paraId="5A9AB853">
      <w:pPr>
        <w:numPr>
          <w:ilvl w:val="0"/>
          <w:numId w:val="3"/>
        </w:numPr>
        <w:tabs>
          <w:tab w:val="left" w:pos="567"/>
          <w:tab w:val="clear" w:pos="425"/>
        </w:tabs>
        <w:spacing w:line="360" w:lineRule="auto"/>
        <w:rPr>
          <w:rFonts w:ascii="宋体"/>
          <w:sz w:val="22"/>
          <w:szCs w:val="22"/>
        </w:rPr>
      </w:pPr>
      <w:r>
        <w:rPr>
          <w:rFonts w:hint="eastAsia" w:ascii="宋体" w:hAnsi="宋体" w:cs="宋体"/>
          <w:b/>
          <w:bCs/>
          <w:sz w:val="24"/>
          <w:szCs w:val="24"/>
        </w:rPr>
        <w:t>对投标文件的初审</w:t>
      </w:r>
    </w:p>
    <w:p w14:paraId="6F87411F">
      <w:pPr>
        <w:numPr>
          <w:ilvl w:val="1"/>
          <w:numId w:val="3"/>
        </w:numPr>
        <w:spacing w:line="360" w:lineRule="auto"/>
        <w:rPr>
          <w:rFonts w:ascii="宋体"/>
          <w:sz w:val="22"/>
          <w:szCs w:val="22"/>
        </w:rPr>
      </w:pPr>
      <w:r>
        <w:rPr>
          <w:rFonts w:hint="eastAsia" w:ascii="宋体" w:hAnsi="宋体" w:cs="宋体"/>
          <w:sz w:val="22"/>
          <w:szCs w:val="22"/>
        </w:rPr>
        <w:t>投标文件初审分为资格性检查和符合性检查。</w:t>
      </w:r>
    </w:p>
    <w:p w14:paraId="1D40BA3C">
      <w:pPr>
        <w:numPr>
          <w:ilvl w:val="1"/>
          <w:numId w:val="3"/>
        </w:numPr>
        <w:spacing w:line="360" w:lineRule="auto"/>
        <w:rPr>
          <w:rFonts w:ascii="宋体"/>
          <w:sz w:val="22"/>
          <w:szCs w:val="22"/>
        </w:rPr>
      </w:pPr>
      <w:r>
        <w:rPr>
          <w:rFonts w:hint="eastAsia" w:ascii="宋体" w:hAnsi="宋体" w:cs="宋体"/>
          <w:sz w:val="22"/>
          <w:szCs w:val="22"/>
        </w:rPr>
        <w:t>资格性检查：依据法律法规和招标文件的规定，</w:t>
      </w:r>
      <w:r>
        <w:rPr>
          <w:rFonts w:hint="eastAsia" w:ascii="宋体" w:hAnsi="宋体" w:cs="宋体"/>
          <w:sz w:val="22"/>
          <w:szCs w:val="22"/>
          <w:lang w:val="zh-CN"/>
        </w:rPr>
        <w:t>在开标结束后，受采购人委托由评标委员会对投标人的</w:t>
      </w:r>
      <w:r>
        <w:rPr>
          <w:rFonts w:hint="eastAsia" w:ascii="宋体" w:hAnsi="宋体" w:cs="宋体"/>
          <w:sz w:val="22"/>
          <w:szCs w:val="22"/>
        </w:rPr>
        <w:t>资格条件</w:t>
      </w:r>
      <w:r>
        <w:rPr>
          <w:rFonts w:hint="eastAsia" w:ascii="宋体" w:hAnsi="宋体" w:cs="宋体"/>
          <w:sz w:val="22"/>
          <w:szCs w:val="22"/>
          <w:lang w:val="zh-CN"/>
        </w:rPr>
        <w:t>进行审查。供应商按招标文件的规定和要求提供所有的资格证明文件，并在必要时提供原件备查（通过钉钉视频会议的形式）</w:t>
      </w:r>
      <w:r>
        <w:rPr>
          <w:rFonts w:hint="eastAsia" w:ascii="宋体" w:hAnsi="宋体" w:cs="宋体"/>
          <w:sz w:val="22"/>
          <w:szCs w:val="22"/>
        </w:rPr>
        <w:t>，以确定投标供应商是否具备投标资格。</w:t>
      </w:r>
      <w:r>
        <w:rPr>
          <w:rFonts w:hint="eastAsia" w:ascii="宋体" w:hAnsi="宋体" w:cs="宋体"/>
          <w:sz w:val="22"/>
          <w:szCs w:val="22"/>
          <w:lang w:val="zh-CN"/>
        </w:rPr>
        <w:t>若提供的资格证明文件不全或不实，将导致其投标或中标资格被取消。</w:t>
      </w:r>
    </w:p>
    <w:p w14:paraId="0CC84E27">
      <w:pPr>
        <w:numPr>
          <w:ilvl w:val="1"/>
          <w:numId w:val="3"/>
        </w:numPr>
        <w:spacing w:line="360" w:lineRule="auto"/>
        <w:rPr>
          <w:rFonts w:ascii="宋体"/>
          <w:sz w:val="22"/>
          <w:szCs w:val="22"/>
        </w:rPr>
      </w:pPr>
      <w:r>
        <w:rPr>
          <w:rFonts w:hint="eastAsia" w:ascii="宋体" w:hAnsi="宋体" w:cs="宋体"/>
          <w:sz w:val="22"/>
          <w:szCs w:val="22"/>
        </w:rPr>
        <w:t>符合性检查：依据招标文件的规定，从投标文件的有效性、完整性和对招标文件的响应程度进行审查。</w:t>
      </w:r>
    </w:p>
    <w:p w14:paraId="6F797E7F">
      <w:pPr>
        <w:numPr>
          <w:ilvl w:val="1"/>
          <w:numId w:val="3"/>
        </w:numPr>
        <w:spacing w:line="360" w:lineRule="auto"/>
        <w:rPr>
          <w:rFonts w:ascii="宋体"/>
          <w:sz w:val="22"/>
          <w:szCs w:val="22"/>
        </w:rPr>
      </w:pPr>
      <w:r>
        <w:rPr>
          <w:rFonts w:hint="eastAsia" w:ascii="宋体" w:hAnsi="宋体" w:cs="宋体"/>
          <w:sz w:val="22"/>
          <w:szCs w:val="22"/>
        </w:rPr>
        <w:t>所谓重大偏离或保留是指与招标文件规定的实质性要求存在负偏离，这些偏离或保留将会对其他实质性响应要求的投标人的竞争地位产生不公正的影响。重大偏离的认定需经过评委会三分之二及以上成员的认定。评委决定投标文件的响应性只根据投标文件本身的内容，而不寻求外部的证据。</w:t>
      </w:r>
    </w:p>
    <w:p w14:paraId="3E7A28CE">
      <w:pPr>
        <w:numPr>
          <w:ilvl w:val="1"/>
          <w:numId w:val="3"/>
        </w:numPr>
        <w:spacing w:line="360" w:lineRule="auto"/>
        <w:rPr>
          <w:rFonts w:ascii="宋体"/>
          <w:sz w:val="22"/>
          <w:szCs w:val="22"/>
        </w:rPr>
      </w:pPr>
      <w:r>
        <w:rPr>
          <w:rFonts w:hint="eastAsia" w:ascii="宋体" w:hAnsi="宋体" w:cs="宋体"/>
          <w:sz w:val="22"/>
          <w:szCs w:val="22"/>
        </w:rPr>
        <w:t>如果投标文件实质上没有响应招标文件的要求，评委会将予以拒绝，投标人不得通过修改或撤销不合要求的偏离或保留而使其投标成为实质性响应的投标。</w:t>
      </w:r>
    </w:p>
    <w:p w14:paraId="428EE294">
      <w:pPr>
        <w:numPr>
          <w:ilvl w:val="1"/>
          <w:numId w:val="3"/>
        </w:numPr>
        <w:spacing w:line="360" w:lineRule="auto"/>
        <w:rPr>
          <w:rFonts w:ascii="宋体"/>
          <w:sz w:val="22"/>
          <w:szCs w:val="22"/>
        </w:rPr>
      </w:pPr>
      <w:r>
        <w:rPr>
          <w:rFonts w:hint="eastAsia" w:ascii="宋体" w:hAnsi="宋体" w:cs="宋体"/>
          <w:sz w:val="22"/>
          <w:szCs w:val="22"/>
        </w:rPr>
        <w:t>评标时，当投标文件中开标一览表内容与分项明细报价表内容不一致时，以开标一览表为准。评委会有权要求投标人对分项报价作出修正，调整后的价格应对投标人具有约束力。如果投标人不接受修正后的价格，则其投标将被拒绝。</w:t>
      </w:r>
    </w:p>
    <w:p w14:paraId="319B06B3">
      <w:pPr>
        <w:numPr>
          <w:ilvl w:val="1"/>
          <w:numId w:val="3"/>
        </w:numPr>
        <w:spacing w:line="360" w:lineRule="auto"/>
        <w:rPr>
          <w:rFonts w:ascii="宋体"/>
          <w:b/>
          <w:bCs/>
          <w:sz w:val="22"/>
          <w:szCs w:val="22"/>
        </w:rPr>
      </w:pPr>
      <w:r>
        <w:rPr>
          <w:rFonts w:hint="eastAsia" w:ascii="宋体" w:hAnsi="宋体" w:cs="宋体"/>
          <w:sz w:val="22"/>
          <w:szCs w:val="22"/>
        </w:rPr>
        <w:t>评委会将允许修正投标文件中不构成重大偏离的、微小的、非正规的、不一致的或不规则的地方，但这些修改不能影响任何投标人相应的名次排列。</w:t>
      </w:r>
    </w:p>
    <w:p w14:paraId="3D04FC6E">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定标</w:t>
      </w:r>
    </w:p>
    <w:p w14:paraId="1F75E8A0">
      <w:pPr>
        <w:numPr>
          <w:ilvl w:val="1"/>
          <w:numId w:val="3"/>
        </w:numPr>
        <w:spacing w:line="360" w:lineRule="auto"/>
        <w:rPr>
          <w:rFonts w:ascii="宋体"/>
          <w:sz w:val="22"/>
          <w:szCs w:val="22"/>
        </w:rPr>
      </w:pPr>
      <w:r>
        <w:rPr>
          <w:rFonts w:hint="eastAsia" w:ascii="宋体" w:hAnsi="宋体" w:cs="宋体"/>
          <w:color w:val="000000"/>
          <w:sz w:val="22"/>
          <w:szCs w:val="22"/>
        </w:rPr>
        <w:t>评标委员会根据本招标文件评审方法及评分标准，提出书面评标报告，向采购单位推荐中标候选人。</w:t>
      </w:r>
    </w:p>
    <w:p w14:paraId="7BD72C5E">
      <w:pPr>
        <w:numPr>
          <w:ilvl w:val="1"/>
          <w:numId w:val="3"/>
        </w:numPr>
        <w:spacing w:line="360" w:lineRule="auto"/>
        <w:rPr>
          <w:rFonts w:ascii="宋体"/>
          <w:color w:val="000000"/>
          <w:sz w:val="22"/>
          <w:szCs w:val="22"/>
        </w:rPr>
      </w:pPr>
      <w:r>
        <w:rPr>
          <w:rFonts w:hint="eastAsia" w:ascii="宋体" w:hAnsi="宋体" w:cs="宋体"/>
          <w:sz w:val="22"/>
          <w:szCs w:val="22"/>
        </w:rPr>
        <w:t>采购人确认</w:t>
      </w:r>
      <w:r>
        <w:rPr>
          <w:rFonts w:hint="eastAsia" w:ascii="宋体" w:hAnsi="宋体" w:cs="宋体"/>
          <w:color w:val="000000"/>
          <w:sz w:val="22"/>
          <w:szCs w:val="22"/>
        </w:rPr>
        <w:t>中标单位。</w:t>
      </w:r>
    </w:p>
    <w:p w14:paraId="2C53443F">
      <w:pPr>
        <w:numPr>
          <w:ilvl w:val="1"/>
          <w:numId w:val="3"/>
        </w:numPr>
        <w:spacing w:line="360" w:lineRule="auto"/>
        <w:rPr>
          <w:rFonts w:ascii="宋体"/>
          <w:sz w:val="22"/>
          <w:szCs w:val="22"/>
        </w:rPr>
      </w:pPr>
      <w:r>
        <w:rPr>
          <w:rFonts w:hint="eastAsia" w:ascii="宋体" w:hAnsi="宋体" w:cs="宋体"/>
          <w:sz w:val="22"/>
          <w:szCs w:val="22"/>
        </w:rPr>
        <w:t>采购人应当自收到评标报告之日起５个工作日内，在评标报告确定的中标候选人名单中按顺序确定中标人。</w:t>
      </w:r>
    </w:p>
    <w:p w14:paraId="57E11891">
      <w:pPr>
        <w:numPr>
          <w:ilvl w:val="1"/>
          <w:numId w:val="3"/>
        </w:numPr>
        <w:spacing w:line="360" w:lineRule="auto"/>
        <w:rPr>
          <w:rFonts w:ascii="宋体"/>
          <w:sz w:val="22"/>
          <w:szCs w:val="22"/>
        </w:rPr>
      </w:pPr>
      <w:r>
        <w:rPr>
          <w:rFonts w:hint="eastAsia" w:ascii="宋体" w:hAnsi="宋体" w:cs="宋体"/>
          <w:sz w:val="22"/>
          <w:szCs w:val="22"/>
        </w:rPr>
        <w:t>采购人在收到评标报告</w:t>
      </w:r>
      <w:r>
        <w:rPr>
          <w:rFonts w:ascii="宋体" w:hAnsi="宋体" w:cs="宋体"/>
          <w:sz w:val="22"/>
          <w:szCs w:val="22"/>
        </w:rPr>
        <w:t>5</w:t>
      </w:r>
      <w:r>
        <w:rPr>
          <w:rFonts w:hint="eastAsia" w:ascii="宋体" w:hAnsi="宋体" w:cs="宋体"/>
          <w:sz w:val="22"/>
          <w:szCs w:val="22"/>
        </w:rPr>
        <w:t>个工作日内未按评标报告推荐的中标候选人顺序确定中标人，又不能说明合法理由的，视同按评标报告推荐的顺序确定排名第一的中标候选人为中标人。</w:t>
      </w:r>
    </w:p>
    <w:p w14:paraId="082362D7">
      <w:pPr>
        <w:numPr>
          <w:ilvl w:val="1"/>
          <w:numId w:val="3"/>
        </w:numPr>
        <w:spacing w:line="360" w:lineRule="auto"/>
        <w:rPr>
          <w:rFonts w:ascii="宋体"/>
          <w:sz w:val="22"/>
          <w:szCs w:val="22"/>
        </w:rPr>
      </w:pPr>
      <w:r>
        <w:rPr>
          <w:rFonts w:hint="eastAsia" w:ascii="宋体" w:hAnsi="宋体" w:cs="宋体"/>
          <w:sz w:val="22"/>
          <w:szCs w:val="22"/>
        </w:rPr>
        <w:t>由采购人和代理机构按要求将中标结果在公告发布媒体甘肃政府采购网、陇南市公共资源交易网上公告。</w:t>
      </w:r>
      <w:r>
        <w:rPr>
          <w:rFonts w:ascii="宋体" w:hAnsi="宋体" w:cs="宋体"/>
          <w:sz w:val="22"/>
          <w:szCs w:val="22"/>
        </w:rPr>
        <w:t xml:space="preserve"> </w:t>
      </w:r>
    </w:p>
    <w:p w14:paraId="7A79AA2D">
      <w:pPr>
        <w:pStyle w:val="5"/>
        <w:adjustRightInd/>
        <w:spacing w:before="0" w:after="0" w:line="360" w:lineRule="auto"/>
        <w:jc w:val="center"/>
        <w:textAlignment w:val="auto"/>
        <w:rPr>
          <w:rFonts w:ascii="宋体"/>
          <w:b w:val="0"/>
          <w:bCs w:val="0"/>
          <w:kern w:val="2"/>
          <w:sz w:val="32"/>
          <w:szCs w:val="32"/>
        </w:rPr>
      </w:pPr>
      <w:bookmarkStart w:id="26" w:name="_Toc24035"/>
      <w:bookmarkStart w:id="27" w:name="_Toc24924"/>
      <w:r>
        <w:rPr>
          <w:rFonts w:hint="eastAsia" w:ascii="宋体" w:hAnsi="宋体" w:cs="宋体"/>
          <w:b w:val="0"/>
          <w:bCs w:val="0"/>
          <w:kern w:val="2"/>
          <w:sz w:val="32"/>
          <w:szCs w:val="32"/>
        </w:rPr>
        <w:t>六、澄清和质疑</w:t>
      </w:r>
      <w:bookmarkEnd w:id="26"/>
      <w:bookmarkEnd w:id="27"/>
    </w:p>
    <w:p w14:paraId="6D80C8C7">
      <w:pPr>
        <w:numPr>
          <w:ilvl w:val="0"/>
          <w:numId w:val="3"/>
        </w:numPr>
        <w:adjustRightInd w:val="0"/>
        <w:snapToGrid w:val="0"/>
        <w:spacing w:beforeLines="50" w:line="360" w:lineRule="auto"/>
        <w:jc w:val="left"/>
        <w:rPr>
          <w:rFonts w:ascii="宋体"/>
          <w:sz w:val="22"/>
          <w:szCs w:val="22"/>
        </w:rPr>
      </w:pPr>
      <w:r>
        <w:rPr>
          <w:rFonts w:hint="eastAsia" w:ascii="宋体" w:hAnsi="宋体" w:cs="宋体"/>
          <w:b/>
          <w:bCs/>
          <w:sz w:val="22"/>
          <w:szCs w:val="22"/>
        </w:rPr>
        <w:t>综合说明</w:t>
      </w:r>
    </w:p>
    <w:p w14:paraId="0173AD89">
      <w:pPr>
        <w:adjustRightInd w:val="0"/>
        <w:snapToGrid w:val="0"/>
        <w:spacing w:beforeLines="50" w:line="360" w:lineRule="auto"/>
        <w:jc w:val="left"/>
        <w:rPr>
          <w:rFonts w:ascii="宋体"/>
          <w:sz w:val="22"/>
          <w:szCs w:val="22"/>
        </w:rPr>
      </w:pPr>
      <w:r>
        <w:rPr>
          <w:rFonts w:ascii="宋体" w:hAnsi="宋体" w:cs="宋体"/>
          <w:b/>
          <w:bCs/>
          <w:sz w:val="22"/>
          <w:szCs w:val="22"/>
        </w:rPr>
        <w:t xml:space="preserve">   </w:t>
      </w:r>
      <w:r>
        <w:rPr>
          <w:rFonts w:ascii="宋体" w:hAnsi="宋体" w:cs="宋体"/>
          <w:sz w:val="22"/>
          <w:szCs w:val="22"/>
        </w:rPr>
        <w:t xml:space="preserve"> </w:t>
      </w:r>
      <w:r>
        <w:rPr>
          <w:rFonts w:hint="eastAsia" w:ascii="宋体" w:hAnsi="宋体" w:cs="宋体"/>
          <w:sz w:val="22"/>
          <w:szCs w:val="22"/>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质疑人提出质疑时，应当提交书面质疑书，质疑书的递交应当采取当面递交或邮寄的形式。</w:t>
      </w:r>
      <w:bookmarkStart w:id="28" w:name="_Toc26337"/>
      <w:bookmarkStart w:id="29" w:name="_Toc2122"/>
      <w:bookmarkStart w:id="30" w:name="_Toc21048"/>
      <w:bookmarkStart w:id="31" w:name="_Toc239047320"/>
      <w:r>
        <w:rPr>
          <w:rFonts w:hint="eastAsia" w:ascii="宋体" w:hAnsi="宋体" w:cs="宋体"/>
          <w:sz w:val="22"/>
          <w:szCs w:val="22"/>
        </w:rPr>
        <w:t>递交质疑的投标人和其他有关投标人在被告知、收到质疑答复或答疑书后，应立即向招标机构回函确认，未确认情况应当视为对质疑答复的知晓，也将视为对质疑答复内容接受的默认。若质疑事项影响投标人编制投标文件的，</w:t>
      </w:r>
      <w:r>
        <w:rPr>
          <w:rFonts w:hint="eastAsia" w:ascii="宋体" w:hAnsi="宋体" w:cs="宋体"/>
          <w:sz w:val="22"/>
          <w:szCs w:val="22"/>
          <w:lang w:eastAsia="zh-CN"/>
        </w:rPr>
        <w:t>采购代理机构</w:t>
      </w:r>
      <w:r>
        <w:rPr>
          <w:rFonts w:hint="eastAsia" w:ascii="宋体" w:hAnsi="宋体" w:cs="宋体"/>
          <w:sz w:val="22"/>
          <w:szCs w:val="22"/>
        </w:rPr>
        <w:t>将在甘肃政府采购网和陇南市公共资源交易网发布变更公告的形式告知参与本项目的投标供应商，根据相关规定可以酌情延长投标截止时间。</w:t>
      </w:r>
    </w:p>
    <w:bookmarkEnd w:id="28"/>
    <w:bookmarkEnd w:id="29"/>
    <w:bookmarkEnd w:id="30"/>
    <w:bookmarkEnd w:id="31"/>
    <w:p w14:paraId="0211E190">
      <w:pPr>
        <w:numPr>
          <w:ilvl w:val="0"/>
          <w:numId w:val="3"/>
        </w:numPr>
        <w:adjustRightInd w:val="0"/>
        <w:snapToGrid w:val="0"/>
        <w:spacing w:beforeLines="50" w:line="360" w:lineRule="auto"/>
        <w:jc w:val="left"/>
        <w:rPr>
          <w:rFonts w:ascii="宋体"/>
          <w:sz w:val="22"/>
          <w:szCs w:val="22"/>
        </w:rPr>
      </w:pPr>
      <w:r>
        <w:rPr>
          <w:rFonts w:hint="eastAsia" w:ascii="宋体" w:hAnsi="宋体" w:cs="宋体"/>
          <w:b/>
          <w:bCs/>
          <w:spacing w:val="-3"/>
          <w:sz w:val="22"/>
          <w:szCs w:val="22"/>
        </w:rPr>
        <w:t>投标人质疑</w:t>
      </w:r>
    </w:p>
    <w:p w14:paraId="057FEE17">
      <w:pPr>
        <w:spacing w:before="199" w:line="360" w:lineRule="auto"/>
        <w:ind w:right="11" w:firstLine="424" w:firstLineChars="200"/>
        <w:rPr>
          <w:rFonts w:ascii="宋体"/>
          <w:sz w:val="22"/>
          <w:szCs w:val="22"/>
        </w:rPr>
      </w:pPr>
      <w:r>
        <w:rPr>
          <w:rFonts w:ascii="宋体" w:hAnsi="宋体" w:cs="宋体"/>
          <w:spacing w:val="-4"/>
          <w:sz w:val="22"/>
          <w:szCs w:val="22"/>
        </w:rPr>
        <w:t>28</w:t>
      </w:r>
      <w:r>
        <w:rPr>
          <w:rFonts w:ascii="宋体" w:cs="宋体"/>
          <w:spacing w:val="-4"/>
          <w:sz w:val="22"/>
          <w:szCs w:val="22"/>
        </w:rPr>
        <w:t>.</w:t>
      </w:r>
      <w:r>
        <w:rPr>
          <w:rFonts w:ascii="宋体" w:hAnsi="宋体" w:cs="宋体"/>
          <w:spacing w:val="-4"/>
          <w:sz w:val="22"/>
          <w:szCs w:val="22"/>
        </w:rPr>
        <w:t>1</w:t>
      </w:r>
      <w:r>
        <w:rPr>
          <w:rFonts w:hint="eastAsia" w:ascii="宋体" w:hAnsi="宋体" w:cs="宋体"/>
          <w:sz w:val="22"/>
          <w:szCs w:val="22"/>
        </w:rPr>
        <w:t>投标人对政府采购活动事项有疑问的，可以向采购人或采购代理机构提出询问。采购人或采购代理机构将在</w:t>
      </w:r>
      <w:r>
        <w:rPr>
          <w:rFonts w:ascii="宋体" w:hAnsi="宋体" w:cs="宋体"/>
          <w:sz w:val="22"/>
          <w:szCs w:val="22"/>
        </w:rPr>
        <w:t>7</w:t>
      </w:r>
      <w:r>
        <w:rPr>
          <w:rFonts w:hint="eastAsia" w:ascii="宋体" w:hAnsi="宋体" w:cs="宋体"/>
          <w:sz w:val="22"/>
          <w:szCs w:val="22"/>
        </w:rPr>
        <w:t>个工作日内作出答复。</w:t>
      </w:r>
    </w:p>
    <w:p w14:paraId="2D154311">
      <w:pPr>
        <w:spacing w:before="2" w:line="360" w:lineRule="auto"/>
        <w:ind w:right="11" w:firstLine="424" w:firstLineChars="200"/>
        <w:rPr>
          <w:rFonts w:ascii="宋体"/>
          <w:sz w:val="22"/>
          <w:szCs w:val="22"/>
        </w:rPr>
      </w:pPr>
      <w:r>
        <w:rPr>
          <w:rFonts w:ascii="宋体" w:hAnsi="宋体" w:cs="宋体"/>
          <w:spacing w:val="-4"/>
          <w:sz w:val="22"/>
          <w:szCs w:val="22"/>
        </w:rPr>
        <w:t>28.2</w:t>
      </w:r>
      <w:r>
        <w:rPr>
          <w:rFonts w:hint="eastAsia" w:ascii="宋体" w:hAnsi="宋体" w:cs="宋体"/>
          <w:spacing w:val="-4"/>
          <w:sz w:val="22"/>
          <w:szCs w:val="22"/>
        </w:rPr>
        <w:t>投标人若认为招标文件、采购过程和中标或成交结果使自己的权益受到损害，应当</w:t>
      </w:r>
      <w:r>
        <w:rPr>
          <w:rFonts w:hint="eastAsia" w:ascii="宋体" w:hAnsi="宋体" w:cs="宋体"/>
          <w:spacing w:val="-3"/>
          <w:sz w:val="22"/>
          <w:szCs w:val="22"/>
        </w:rPr>
        <w:t>在下列时间内以书面形式向采购人、采购代理机构提出。投标人在下列规定的质疑期内须一次性提出针对同一采购程序环节的质疑，采购人、采购代理机构不接收同一采购程序环节的</w:t>
      </w:r>
      <w:r>
        <w:rPr>
          <w:rFonts w:hint="eastAsia" w:ascii="宋体" w:hAnsi="宋体" w:cs="宋体"/>
          <w:spacing w:val="-2"/>
          <w:sz w:val="22"/>
          <w:szCs w:val="22"/>
        </w:rPr>
        <w:t>二次质疑：</w:t>
      </w:r>
    </w:p>
    <w:p w14:paraId="26322436">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关于招标文件的质疑，应从招标文件发出之日起七个工作日内提出。</w:t>
      </w:r>
    </w:p>
    <w:p w14:paraId="5018B87B">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关于采购过程的质疑，应在采购程序环节结束之日起七个工作日内提出。</w:t>
      </w:r>
    </w:p>
    <w:p w14:paraId="69015A96">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关于中标结果的质疑，应在中标结果信息发布后七个工作日内提出。</w:t>
      </w:r>
    </w:p>
    <w:p w14:paraId="47B18BB8">
      <w:pPr>
        <w:spacing w:before="199"/>
        <w:ind w:right="11" w:firstLine="440" w:firstLineChars="200"/>
        <w:rPr>
          <w:rFonts w:ascii="宋体"/>
          <w:sz w:val="22"/>
          <w:szCs w:val="22"/>
        </w:rPr>
      </w:pPr>
      <w:r>
        <w:rPr>
          <w:rFonts w:ascii="宋体" w:hAnsi="宋体" w:cs="宋体"/>
          <w:sz w:val="22"/>
          <w:szCs w:val="22"/>
        </w:rPr>
        <w:t>28.3</w:t>
      </w:r>
      <w:r>
        <w:rPr>
          <w:rFonts w:hint="eastAsia" w:ascii="宋体" w:hAnsi="宋体" w:cs="宋体"/>
          <w:sz w:val="22"/>
          <w:szCs w:val="22"/>
        </w:rPr>
        <w:t>投标人提出质疑的，应提供质疑书和必要的证明材料原件。</w:t>
      </w:r>
      <w:r>
        <w:rPr>
          <w:rFonts w:ascii="宋体" w:hAnsi="宋体" w:cs="宋体"/>
          <w:sz w:val="22"/>
          <w:szCs w:val="22"/>
        </w:rPr>
        <w:t xml:space="preserve">         </w:t>
      </w:r>
    </w:p>
    <w:p w14:paraId="68893716">
      <w:pPr>
        <w:spacing w:before="199"/>
        <w:ind w:right="11" w:firstLine="440" w:firstLineChars="200"/>
        <w:rPr>
          <w:rFonts w:ascii="宋体"/>
          <w:sz w:val="22"/>
          <w:szCs w:val="22"/>
        </w:rPr>
      </w:pPr>
      <w:r>
        <w:rPr>
          <w:rFonts w:ascii="宋体" w:hAnsi="宋体" w:cs="宋体"/>
          <w:sz w:val="22"/>
          <w:szCs w:val="22"/>
        </w:rPr>
        <w:t>28.4</w:t>
      </w:r>
      <w:r>
        <w:rPr>
          <w:rFonts w:hint="eastAsia" w:ascii="宋体" w:hAnsi="宋体" w:cs="宋体"/>
          <w:sz w:val="22"/>
          <w:szCs w:val="22"/>
        </w:rPr>
        <w:t>质疑书应当包括下列内容：</w:t>
      </w:r>
    </w:p>
    <w:p w14:paraId="71B638DC">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质疑供应商的姓名或名称、地址、邮编、联系人及有效联系电话；</w:t>
      </w:r>
    </w:p>
    <w:p w14:paraId="548B1271">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质疑项目的名称、编号；</w:t>
      </w:r>
    </w:p>
    <w:p w14:paraId="18AB2FC8">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具体、明确的质疑事项和与质疑事项相关的请求；</w:t>
      </w:r>
    </w:p>
    <w:p w14:paraId="19ACB7AD">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事实依据；</w:t>
      </w:r>
    </w:p>
    <w:p w14:paraId="073DA25B">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5</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必要的法律依据；</w:t>
      </w:r>
    </w:p>
    <w:p w14:paraId="185F1075">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6</w:t>
      </w:r>
      <w:r>
        <w:rPr>
          <w:rFonts w:hint="eastAsia" w:ascii="宋体" w:hAnsi="宋体" w:cs="宋体"/>
          <w:sz w:val="22"/>
          <w:szCs w:val="22"/>
        </w:rPr>
        <w:t>）提出质疑的日期。</w:t>
      </w:r>
      <w:r>
        <w:rPr>
          <w:rFonts w:ascii="宋体" w:hAnsi="宋体" w:cs="宋体"/>
          <w:sz w:val="22"/>
          <w:szCs w:val="22"/>
        </w:rPr>
        <w:t xml:space="preserve">                                                      </w:t>
      </w:r>
    </w:p>
    <w:p w14:paraId="123BAD58">
      <w:pPr>
        <w:spacing w:before="199" w:line="360" w:lineRule="auto"/>
        <w:ind w:right="24" w:firstLine="436" w:firstLineChars="200"/>
        <w:rPr>
          <w:rFonts w:ascii="宋体"/>
          <w:sz w:val="22"/>
          <w:szCs w:val="22"/>
        </w:rPr>
      </w:pPr>
      <w:r>
        <w:rPr>
          <w:rFonts w:ascii="宋体" w:hAnsi="宋体" w:cs="宋体"/>
          <w:spacing w:val="-1"/>
          <w:sz w:val="22"/>
          <w:szCs w:val="22"/>
        </w:rPr>
        <w:t>28.5</w:t>
      </w:r>
      <w:r>
        <w:rPr>
          <w:rFonts w:hint="eastAsia" w:ascii="宋体" w:hAnsi="宋体" w:cs="宋体"/>
          <w:spacing w:val="-1"/>
          <w:sz w:val="22"/>
          <w:szCs w:val="22"/>
        </w:rPr>
        <w:t>质疑供应商可以委托进行质疑和投诉。其授权委托书应当载明代理人的姓名或名</w:t>
      </w:r>
      <w:r>
        <w:rPr>
          <w:rFonts w:hint="eastAsia" w:ascii="宋体" w:hAnsi="宋体" w:cs="宋体"/>
          <w:spacing w:val="-3"/>
          <w:sz w:val="22"/>
          <w:szCs w:val="22"/>
        </w:rPr>
        <w:t>称、代理事项、具体权限、期限和相关事项，并提交供应商签署的授权委托书。供应商为自</w:t>
      </w:r>
      <w:r>
        <w:rPr>
          <w:rFonts w:hint="eastAsia" w:ascii="宋体" w:hAnsi="宋体" w:cs="宋体"/>
          <w:spacing w:val="-6"/>
          <w:sz w:val="22"/>
          <w:szCs w:val="22"/>
        </w:rPr>
        <w:t>然人的，应当由本人签字；供应商为法人或其他组织的，应当由法定代表人、主要负责人签</w:t>
      </w:r>
      <w:r>
        <w:rPr>
          <w:rFonts w:ascii="宋体" w:hAnsi="宋体" w:cs="宋体"/>
          <w:sz w:val="22"/>
          <w:szCs w:val="22"/>
        </w:rPr>
        <w:t xml:space="preserve"> </w:t>
      </w:r>
      <w:r>
        <w:rPr>
          <w:rFonts w:hint="eastAsia" w:ascii="宋体" w:hAnsi="宋体" w:cs="宋体"/>
          <w:spacing w:val="-1"/>
          <w:sz w:val="22"/>
          <w:szCs w:val="22"/>
        </w:rPr>
        <w:t>字或盖章，并加盖公章。</w:t>
      </w:r>
    </w:p>
    <w:p w14:paraId="3C67F346">
      <w:pPr>
        <w:spacing w:before="199" w:line="360" w:lineRule="auto"/>
        <w:ind w:firstLine="436" w:firstLineChars="200"/>
        <w:rPr>
          <w:rFonts w:ascii="宋体"/>
          <w:sz w:val="22"/>
          <w:szCs w:val="22"/>
        </w:rPr>
      </w:pPr>
      <w:r>
        <w:rPr>
          <w:rFonts w:ascii="宋体" w:hAnsi="宋体" w:cs="宋体"/>
          <w:spacing w:val="-1"/>
          <w:sz w:val="22"/>
          <w:szCs w:val="22"/>
        </w:rPr>
        <w:t>28.6</w:t>
      </w:r>
      <w:r>
        <w:rPr>
          <w:rFonts w:hint="eastAsia" w:ascii="宋体" w:hAnsi="宋体" w:cs="宋体"/>
          <w:spacing w:val="-1"/>
          <w:sz w:val="22"/>
          <w:szCs w:val="22"/>
        </w:rPr>
        <w:t>采购人或采购代理机构将在收到质疑函后七个工作日内作出答复，并以书面形式通知质疑供应商和其他有关的供应商。</w:t>
      </w:r>
    </w:p>
    <w:p w14:paraId="4FB8472F">
      <w:pPr>
        <w:spacing w:before="198" w:line="360" w:lineRule="auto"/>
        <w:ind w:firstLine="424" w:firstLineChars="200"/>
        <w:rPr>
          <w:rFonts w:ascii="宋体"/>
          <w:sz w:val="22"/>
          <w:szCs w:val="22"/>
        </w:rPr>
      </w:pPr>
      <w:r>
        <w:rPr>
          <w:rFonts w:ascii="宋体" w:hAnsi="宋体" w:cs="宋体"/>
          <w:spacing w:val="-4"/>
          <w:sz w:val="22"/>
          <w:szCs w:val="22"/>
        </w:rPr>
        <w:t>28.7</w:t>
      </w:r>
      <w:r>
        <w:rPr>
          <w:rFonts w:hint="eastAsia" w:ascii="宋体" w:hAnsi="宋体" w:cs="宋体"/>
          <w:spacing w:val="-4"/>
          <w:sz w:val="22"/>
          <w:szCs w:val="22"/>
        </w:rPr>
        <w:t>采购人、采购代理机构接收质疑函的联系人、联系电话及地址等信息同招标公告信</w:t>
      </w:r>
      <w:r>
        <w:rPr>
          <w:rFonts w:hint="eastAsia" w:ascii="宋体" w:hAnsi="宋体" w:cs="宋体"/>
          <w:spacing w:val="-5"/>
          <w:sz w:val="22"/>
          <w:szCs w:val="22"/>
        </w:rPr>
        <w:t>息一致。</w:t>
      </w:r>
    </w:p>
    <w:p w14:paraId="26CCE4F6">
      <w:pPr>
        <w:spacing w:line="360" w:lineRule="auto"/>
        <w:rPr>
          <w:rFonts w:ascii="宋体"/>
          <w:b/>
          <w:bCs/>
          <w:sz w:val="22"/>
          <w:szCs w:val="22"/>
        </w:rPr>
      </w:pPr>
      <w:bookmarkStart w:id="32" w:name="_Toc239047321"/>
      <w:bookmarkStart w:id="33" w:name="_Toc2504"/>
      <w:bookmarkStart w:id="34" w:name="_Toc10940"/>
      <w:bookmarkStart w:id="35" w:name="_Toc17975"/>
      <w:r>
        <w:rPr>
          <w:rFonts w:ascii="宋体" w:hAnsi="宋体" w:cs="宋体"/>
          <w:b/>
          <w:bCs/>
          <w:sz w:val="22"/>
          <w:szCs w:val="22"/>
        </w:rPr>
        <w:t>31.</w:t>
      </w:r>
      <w:r>
        <w:rPr>
          <w:rFonts w:hint="eastAsia" w:ascii="宋体" w:hAnsi="宋体" w:cs="宋体"/>
          <w:b/>
          <w:bCs/>
          <w:sz w:val="22"/>
          <w:szCs w:val="22"/>
        </w:rPr>
        <w:t>澄清或质疑不予受理的情况</w:t>
      </w:r>
      <w:bookmarkEnd w:id="32"/>
      <w:bookmarkEnd w:id="33"/>
      <w:bookmarkEnd w:id="34"/>
      <w:bookmarkEnd w:id="35"/>
    </w:p>
    <w:p w14:paraId="53D5E9F6">
      <w:pPr>
        <w:spacing w:line="360" w:lineRule="auto"/>
        <w:rPr>
          <w:rFonts w:ascii="宋体"/>
          <w:sz w:val="22"/>
          <w:szCs w:val="22"/>
        </w:rPr>
      </w:pPr>
      <w:r>
        <w:rPr>
          <w:rFonts w:hint="eastAsia" w:ascii="宋体" w:hAnsi="宋体" w:cs="宋体"/>
          <w:sz w:val="22"/>
          <w:szCs w:val="22"/>
        </w:rPr>
        <w:t>有下列情形之一的，属于无效质疑，被质疑人不予受理，由此产生的影响由投标人自行承担：</w:t>
      </w:r>
    </w:p>
    <w:p w14:paraId="4F106B0D">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一</w:t>
      </w:r>
      <w:r>
        <w:rPr>
          <w:rFonts w:ascii="宋体" w:hAnsi="宋体" w:cs="宋体"/>
          <w:sz w:val="22"/>
          <w:szCs w:val="22"/>
        </w:rPr>
        <w:t>)</w:t>
      </w:r>
      <w:r>
        <w:rPr>
          <w:rFonts w:hint="eastAsia" w:ascii="宋体" w:hAnsi="宋体" w:cs="宋体"/>
          <w:sz w:val="22"/>
          <w:szCs w:val="22"/>
        </w:rPr>
        <w:t>不是参与该政府采购项目活动供应商的；</w:t>
      </w:r>
    </w:p>
    <w:p w14:paraId="36DAC744">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二</w:t>
      </w:r>
      <w:r>
        <w:rPr>
          <w:rFonts w:ascii="宋体" w:hAnsi="宋体" w:cs="宋体"/>
          <w:sz w:val="22"/>
          <w:szCs w:val="22"/>
        </w:rPr>
        <w:t>)</w:t>
      </w:r>
      <w:r>
        <w:rPr>
          <w:rFonts w:hint="eastAsia" w:ascii="宋体" w:hAnsi="宋体" w:cs="宋体"/>
          <w:sz w:val="22"/>
          <w:szCs w:val="22"/>
        </w:rPr>
        <w:t>被质疑人为采购人或政府采购代理机构之外的；</w:t>
      </w:r>
    </w:p>
    <w:p w14:paraId="4CA3E508">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三</w:t>
      </w:r>
      <w:r>
        <w:rPr>
          <w:rFonts w:ascii="宋体" w:hAnsi="宋体" w:cs="宋体"/>
          <w:sz w:val="22"/>
          <w:szCs w:val="22"/>
        </w:rPr>
        <w:t>)</w:t>
      </w:r>
      <w:r>
        <w:rPr>
          <w:rFonts w:hint="eastAsia" w:ascii="宋体" w:hAnsi="宋体" w:cs="宋体"/>
          <w:sz w:val="22"/>
          <w:szCs w:val="22"/>
        </w:rPr>
        <w:t>所有质疑事项超过质疑有效期的；</w:t>
      </w:r>
    </w:p>
    <w:p w14:paraId="154288EB">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四</w:t>
      </w:r>
      <w:r>
        <w:rPr>
          <w:rFonts w:ascii="宋体" w:hAnsi="宋体" w:cs="宋体"/>
          <w:sz w:val="22"/>
          <w:szCs w:val="22"/>
        </w:rPr>
        <w:t>)</w:t>
      </w:r>
      <w:r>
        <w:rPr>
          <w:rFonts w:hint="eastAsia" w:ascii="宋体" w:hAnsi="宋体" w:cs="宋体"/>
          <w:sz w:val="22"/>
          <w:szCs w:val="22"/>
        </w:rPr>
        <w:t>以具有法律效力的文书送达之外方式提出的；</w:t>
      </w:r>
    </w:p>
    <w:p w14:paraId="170A77E8">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五</w:t>
      </w:r>
      <w:r>
        <w:rPr>
          <w:rFonts w:ascii="宋体" w:hAnsi="宋体" w:cs="宋体"/>
          <w:sz w:val="22"/>
          <w:szCs w:val="22"/>
        </w:rPr>
        <w:t xml:space="preserve">) </w:t>
      </w:r>
      <w:r>
        <w:rPr>
          <w:rFonts w:hint="eastAsia" w:ascii="宋体" w:hAnsi="宋体" w:cs="宋体"/>
          <w:sz w:val="22"/>
          <w:szCs w:val="22"/>
        </w:rPr>
        <w:t>未按上述规定递交澄清或质疑函的；</w:t>
      </w:r>
    </w:p>
    <w:p w14:paraId="108B2DC7">
      <w:pPr>
        <w:spacing w:line="360" w:lineRule="auto"/>
        <w:rPr>
          <w:rFonts w:hint="eastAsia" w:ascii="宋体" w:hAnsi="宋体" w:cs="宋体"/>
          <w:b/>
          <w:bCs/>
          <w:sz w:val="22"/>
          <w:szCs w:val="22"/>
        </w:rPr>
      </w:pPr>
      <w:r>
        <w:rPr>
          <w:rFonts w:ascii="宋体" w:hAnsi="宋体" w:cs="宋体"/>
          <w:b/>
          <w:bCs/>
          <w:sz w:val="22"/>
          <w:szCs w:val="22"/>
        </w:rPr>
        <w:t>32.</w:t>
      </w:r>
      <w:r>
        <w:rPr>
          <w:rFonts w:hint="eastAsia" w:ascii="宋体" w:hAnsi="宋体" w:cs="宋体"/>
          <w:b/>
          <w:bCs/>
          <w:sz w:val="22"/>
          <w:szCs w:val="22"/>
        </w:rPr>
        <w:t>澄清递交地点：</w:t>
      </w:r>
    </w:p>
    <w:p w14:paraId="4B7F5E8F">
      <w:pPr>
        <w:spacing w:line="360" w:lineRule="auto"/>
        <w:rPr>
          <w:rFonts w:hint="default" w:ascii="宋体" w:eastAsia="宋体"/>
          <w:sz w:val="22"/>
          <w:szCs w:val="22"/>
          <w:lang w:val="en-US" w:eastAsia="zh-CN"/>
        </w:rPr>
      </w:pPr>
      <w:r>
        <w:rPr>
          <w:rFonts w:hint="eastAsia" w:ascii="宋体" w:hAnsi="宋体" w:cs="宋体"/>
          <w:sz w:val="22"/>
          <w:szCs w:val="22"/>
        </w:rPr>
        <w:t>地址：</w:t>
      </w:r>
      <w:r>
        <w:rPr>
          <w:rFonts w:hint="eastAsia" w:ascii="宋体" w:hAnsi="宋体" w:cs="宋体"/>
          <w:sz w:val="22"/>
          <w:szCs w:val="22"/>
          <w:lang w:val="en-US" w:eastAsia="zh-CN"/>
        </w:rPr>
        <w:t xml:space="preserve">                    联系电话：</w:t>
      </w:r>
    </w:p>
    <w:p w14:paraId="7C8B1048">
      <w:pPr>
        <w:numPr>
          <w:ilvl w:val="0"/>
          <w:numId w:val="6"/>
        </w:numPr>
        <w:spacing w:line="360" w:lineRule="auto"/>
        <w:rPr>
          <w:rFonts w:ascii="宋体"/>
          <w:sz w:val="22"/>
          <w:szCs w:val="22"/>
        </w:rPr>
      </w:pPr>
      <w:r>
        <w:rPr>
          <w:rFonts w:hint="eastAsia" w:ascii="宋体" w:hAnsi="宋体" w:cs="宋体"/>
          <w:sz w:val="22"/>
          <w:szCs w:val="22"/>
          <w:lang w:eastAsia="zh-CN"/>
        </w:rPr>
        <w:t>质疑函递交采购单位和代理机构受理，</w:t>
      </w:r>
      <w:r>
        <w:rPr>
          <w:rFonts w:hint="eastAsia" w:ascii="宋体" w:hAnsi="宋体" w:cs="宋体"/>
          <w:sz w:val="22"/>
          <w:szCs w:val="22"/>
        </w:rPr>
        <w:t>投标人对采购人或采购代理机构的答复不满意，或采购人或采购代理机构未在规定的期限作出答复的，可在答复期满后十五个工作日内，按政府采购相关法律法规规章的规定及程序，向同级财政部门提出投诉。</w:t>
      </w:r>
    </w:p>
    <w:p w14:paraId="6E0E7CCA">
      <w:pPr>
        <w:numPr>
          <w:ilvl w:val="0"/>
          <w:numId w:val="6"/>
        </w:numPr>
        <w:spacing w:line="360" w:lineRule="auto"/>
        <w:rPr>
          <w:rFonts w:ascii="宋体"/>
          <w:sz w:val="22"/>
          <w:szCs w:val="22"/>
        </w:rPr>
      </w:pPr>
      <w:r>
        <w:rPr>
          <w:rFonts w:hint="eastAsia" w:ascii="宋体" w:hAnsi="宋体" w:cs="宋体"/>
          <w:sz w:val="22"/>
          <w:szCs w:val="22"/>
        </w:rPr>
        <w:t>中标通知书</w:t>
      </w:r>
    </w:p>
    <w:p w14:paraId="188578BC">
      <w:pPr>
        <w:numPr>
          <w:ilvl w:val="1"/>
          <w:numId w:val="6"/>
        </w:numPr>
        <w:spacing w:line="360" w:lineRule="auto"/>
        <w:rPr>
          <w:rFonts w:hint="eastAsia" w:ascii="宋体" w:hAnsi="宋体" w:cs="宋体"/>
          <w:sz w:val="22"/>
          <w:szCs w:val="22"/>
        </w:rPr>
      </w:pPr>
      <w:r>
        <w:rPr>
          <w:rFonts w:hint="eastAsia" w:ascii="宋体" w:hAnsi="宋体" w:cs="宋体"/>
          <w:sz w:val="22"/>
          <w:szCs w:val="22"/>
        </w:rPr>
        <w:t>根据财库[2015]135号文件精神中标、成交结果应当自中标、成交供应商确定之日起２个工作日内公告，公告期限为１个工作日。公告期限届满后向中标人发出中标通知书。</w:t>
      </w:r>
    </w:p>
    <w:p w14:paraId="1E81D02C">
      <w:pPr>
        <w:numPr>
          <w:ilvl w:val="1"/>
          <w:numId w:val="6"/>
        </w:numPr>
        <w:spacing w:line="360" w:lineRule="auto"/>
        <w:rPr>
          <w:rFonts w:ascii="宋体"/>
          <w:sz w:val="22"/>
          <w:szCs w:val="22"/>
        </w:rPr>
      </w:pPr>
      <w:r>
        <w:rPr>
          <w:rFonts w:hint="eastAsia" w:ascii="宋体" w:hAnsi="宋体" w:cs="宋体"/>
          <w:sz w:val="22"/>
          <w:szCs w:val="22"/>
        </w:rPr>
        <w:t>中</w:t>
      </w:r>
      <w:r>
        <w:rPr>
          <w:rFonts w:hint="eastAsia" w:ascii="宋体" w:hAnsi="宋体" w:cs="宋体"/>
          <w:color w:val="000000"/>
          <w:sz w:val="22"/>
          <w:szCs w:val="22"/>
        </w:rPr>
        <w:t>标通知书将是合同的一个组成部分。对业主和中标人均具有法律效力。</w:t>
      </w:r>
      <w:r>
        <w:rPr>
          <w:rFonts w:hint="eastAsia" w:ascii="宋体" w:hAnsi="宋体" w:cs="宋体"/>
          <w:sz w:val="22"/>
          <w:szCs w:val="22"/>
        </w:rPr>
        <w:t>中标通知书发出后，采购单位私自改变中标结果的，或者中标人放弃中标项目的，应当依法承担法律责任。</w:t>
      </w:r>
    </w:p>
    <w:p w14:paraId="1216B104">
      <w:pPr>
        <w:pStyle w:val="5"/>
        <w:adjustRightInd/>
        <w:spacing w:before="0" w:after="0" w:line="360" w:lineRule="auto"/>
        <w:jc w:val="center"/>
        <w:textAlignment w:val="auto"/>
        <w:rPr>
          <w:rFonts w:ascii="宋体"/>
          <w:b w:val="0"/>
          <w:bCs w:val="0"/>
          <w:kern w:val="2"/>
          <w:sz w:val="32"/>
          <w:szCs w:val="32"/>
        </w:rPr>
      </w:pPr>
      <w:bookmarkStart w:id="36" w:name="_Toc26414"/>
      <w:bookmarkStart w:id="37" w:name="_Toc24932"/>
      <w:r>
        <w:rPr>
          <w:rFonts w:hint="eastAsia" w:ascii="宋体" w:hAnsi="宋体" w:cs="宋体"/>
          <w:b w:val="0"/>
          <w:bCs w:val="0"/>
          <w:kern w:val="2"/>
          <w:sz w:val="32"/>
          <w:szCs w:val="32"/>
        </w:rPr>
        <w:t>七、签订合同</w:t>
      </w:r>
      <w:bookmarkEnd w:id="36"/>
      <w:bookmarkEnd w:id="37"/>
    </w:p>
    <w:p w14:paraId="4658C571">
      <w:pPr>
        <w:spacing w:line="360" w:lineRule="auto"/>
        <w:rPr>
          <w:rFonts w:ascii="宋体"/>
          <w:sz w:val="22"/>
          <w:szCs w:val="22"/>
        </w:rPr>
      </w:pPr>
    </w:p>
    <w:p w14:paraId="26886349">
      <w:pPr>
        <w:numPr>
          <w:ilvl w:val="0"/>
          <w:numId w:val="7"/>
        </w:numPr>
        <w:spacing w:line="360" w:lineRule="auto"/>
        <w:rPr>
          <w:rFonts w:ascii="宋体"/>
          <w:color w:val="000000"/>
          <w:sz w:val="22"/>
          <w:szCs w:val="22"/>
        </w:rPr>
      </w:pPr>
      <w:r>
        <w:rPr>
          <w:rFonts w:hint="eastAsia" w:ascii="宋体" w:hAnsi="宋体" w:cs="宋体"/>
          <w:b/>
          <w:bCs/>
          <w:sz w:val="22"/>
          <w:szCs w:val="22"/>
        </w:rPr>
        <w:t>签订合同</w:t>
      </w:r>
    </w:p>
    <w:p w14:paraId="66DC5FF1">
      <w:pPr>
        <w:numPr>
          <w:ilvl w:val="1"/>
          <w:numId w:val="7"/>
        </w:numPr>
        <w:spacing w:line="360" w:lineRule="auto"/>
        <w:rPr>
          <w:rFonts w:ascii="宋体"/>
          <w:color w:val="FF0000"/>
          <w:sz w:val="22"/>
          <w:szCs w:val="22"/>
        </w:rPr>
      </w:pPr>
      <w:r>
        <w:rPr>
          <w:rFonts w:hint="eastAsia" w:ascii="宋体" w:hAnsi="宋体" w:cs="宋体"/>
          <w:color w:val="000000"/>
          <w:sz w:val="22"/>
          <w:szCs w:val="22"/>
        </w:rPr>
        <w:t>采购人应当自中标通知书发出之日起十日内，按照招标文件和中标供应商投标文件的约定，与中标供应商签订书面合同，逾期责任自负。所签订的合同不得对招标文件和中标供应商投标文件作实质性修改。</w:t>
      </w:r>
      <w:r>
        <w:rPr>
          <w:rFonts w:ascii="宋体" w:hAnsi="宋体" w:cs="宋体"/>
          <w:color w:val="FF0000"/>
          <w:sz w:val="22"/>
          <w:szCs w:val="22"/>
        </w:rPr>
        <w:t xml:space="preserve"> </w:t>
      </w:r>
    </w:p>
    <w:p w14:paraId="1ED1E718">
      <w:pPr>
        <w:numPr>
          <w:ilvl w:val="1"/>
          <w:numId w:val="7"/>
        </w:numPr>
        <w:spacing w:line="360" w:lineRule="auto"/>
        <w:rPr>
          <w:rFonts w:ascii="宋体"/>
          <w:color w:val="000000"/>
          <w:sz w:val="22"/>
          <w:szCs w:val="22"/>
        </w:rPr>
      </w:pPr>
      <w:r>
        <w:rPr>
          <w:rFonts w:hint="eastAsia" w:ascii="宋体" w:hAnsi="宋体" w:cs="宋体"/>
          <w:color w:val="000000"/>
          <w:sz w:val="22"/>
          <w:szCs w:val="22"/>
        </w:rPr>
        <w:t>招标文件、中标人的投标文件及招标过程中有关澄清、承诺文件均应作为合同附件。</w:t>
      </w:r>
    </w:p>
    <w:p w14:paraId="2620AA89">
      <w:pPr>
        <w:numPr>
          <w:ilvl w:val="1"/>
          <w:numId w:val="7"/>
        </w:numPr>
        <w:spacing w:line="360" w:lineRule="auto"/>
        <w:rPr>
          <w:rFonts w:ascii="宋体"/>
          <w:b/>
          <w:bCs/>
          <w:color w:val="000000"/>
          <w:sz w:val="22"/>
          <w:szCs w:val="22"/>
        </w:rPr>
      </w:pPr>
      <w:r>
        <w:rPr>
          <w:rFonts w:hint="eastAsia" w:ascii="宋体" w:hAnsi="宋体" w:cs="宋体"/>
          <w:color w:val="000000"/>
          <w:sz w:val="22"/>
          <w:szCs w:val="22"/>
        </w:rPr>
        <w:t>签订合同后，中标人应根据合同条款及时进场实施项目建设，中标人不得将货物及其他相关服务随意进行转包或分包，否则采购人有权终止合同，中标人的履约保证金将不予退还，造成采购人损失的，中标人应承担相应赔偿责任。</w:t>
      </w:r>
    </w:p>
    <w:p w14:paraId="0243195B">
      <w:pPr>
        <w:numPr>
          <w:ilvl w:val="1"/>
          <w:numId w:val="7"/>
        </w:numPr>
        <w:spacing w:line="360" w:lineRule="auto"/>
        <w:rPr>
          <w:rFonts w:ascii="宋体"/>
          <w:color w:val="000000"/>
          <w:sz w:val="22"/>
          <w:szCs w:val="22"/>
        </w:rPr>
      </w:pPr>
      <w:r>
        <w:rPr>
          <w:rFonts w:hint="eastAsia" w:ascii="宋体" w:hAnsi="宋体" w:cs="宋体"/>
          <w:color w:val="000000"/>
          <w:sz w:val="22"/>
          <w:szCs w:val="22"/>
        </w:rPr>
        <w:t>采购人不得向中标供应商提出任何不合理的要求，作为签订合同的条件，不得与中标供应商私下订立背离合同实质性内容的协议。要将中标通知书作为合同的关键组成部分一起装订入合同。</w:t>
      </w:r>
    </w:p>
    <w:p w14:paraId="0B52917B">
      <w:pPr>
        <w:numPr>
          <w:ilvl w:val="1"/>
          <w:numId w:val="7"/>
        </w:numPr>
        <w:spacing w:line="360" w:lineRule="auto"/>
        <w:rPr>
          <w:rFonts w:hint="eastAsia" w:ascii="宋体" w:hAnsi="宋体" w:cs="宋体"/>
          <w:b/>
          <w:bCs/>
          <w:color w:val="000000"/>
          <w:sz w:val="22"/>
          <w:szCs w:val="22"/>
        </w:rPr>
      </w:pPr>
      <w:r>
        <w:rPr>
          <w:rFonts w:hint="eastAsia" w:ascii="宋体" w:hAnsi="宋体" w:cs="宋体"/>
          <w:b/>
          <w:bCs/>
          <w:color w:val="000000"/>
          <w:sz w:val="22"/>
          <w:szCs w:val="22"/>
        </w:rPr>
        <w:t>采购人当自采购合同签订之日起</w:t>
      </w:r>
      <w:r>
        <w:rPr>
          <w:rFonts w:hint="eastAsia" w:ascii="宋体" w:hAnsi="宋体" w:cs="宋体"/>
          <w:b/>
          <w:bCs/>
          <w:color w:val="000000"/>
          <w:sz w:val="22"/>
          <w:szCs w:val="22"/>
          <w:lang w:eastAsia="zh-CN"/>
        </w:rPr>
        <w:t>二</w:t>
      </w:r>
      <w:r>
        <w:rPr>
          <w:rFonts w:hint="eastAsia" w:ascii="宋体" w:hAnsi="宋体" w:cs="宋体"/>
          <w:b/>
          <w:bCs/>
          <w:color w:val="000000"/>
          <w:sz w:val="22"/>
          <w:szCs w:val="22"/>
        </w:rPr>
        <w:t>个工作日内，按照有关规定将备案后的采购合同（含商业机密部分除外）扫描成PTF格式上传到甘肃政府采购网合同专区。</w:t>
      </w:r>
    </w:p>
    <w:p w14:paraId="24729AF7">
      <w:pPr>
        <w:numPr>
          <w:ilvl w:val="0"/>
          <w:numId w:val="7"/>
        </w:numPr>
        <w:spacing w:line="360" w:lineRule="auto"/>
        <w:rPr>
          <w:rFonts w:ascii="宋体"/>
          <w:b/>
          <w:bCs/>
          <w:color w:val="000000"/>
          <w:sz w:val="22"/>
          <w:szCs w:val="22"/>
        </w:rPr>
      </w:pPr>
      <w:r>
        <w:rPr>
          <w:rFonts w:hint="eastAsia" w:ascii="宋体" w:hAnsi="宋体" w:cs="宋体"/>
          <w:b/>
          <w:bCs/>
          <w:color w:val="000000"/>
          <w:sz w:val="22"/>
          <w:szCs w:val="22"/>
        </w:rPr>
        <w:t>分包履行合同</w:t>
      </w:r>
    </w:p>
    <w:p w14:paraId="1A3CC5FD">
      <w:pPr>
        <w:numPr>
          <w:ilvl w:val="1"/>
          <w:numId w:val="7"/>
        </w:numPr>
        <w:spacing w:line="360" w:lineRule="auto"/>
        <w:rPr>
          <w:rFonts w:ascii="宋体"/>
          <w:b/>
          <w:bCs/>
          <w:sz w:val="22"/>
          <w:szCs w:val="22"/>
        </w:rPr>
      </w:pPr>
      <w:r>
        <w:rPr>
          <w:rFonts w:hint="eastAsia" w:ascii="宋体" w:hAnsi="宋体" w:cs="宋体"/>
          <w:sz w:val="22"/>
          <w:szCs w:val="22"/>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9846F61">
      <w:pPr>
        <w:numPr>
          <w:ilvl w:val="1"/>
          <w:numId w:val="7"/>
        </w:numPr>
        <w:spacing w:line="360" w:lineRule="auto"/>
        <w:rPr>
          <w:rFonts w:ascii="宋体"/>
          <w:b/>
          <w:bCs/>
          <w:color w:val="000000"/>
          <w:sz w:val="22"/>
          <w:szCs w:val="22"/>
        </w:rPr>
      </w:pPr>
      <w:r>
        <w:rPr>
          <w:rFonts w:hint="eastAsia" w:ascii="宋体" w:hAnsi="宋体" w:cs="宋体"/>
          <w:sz w:val="22"/>
          <w:szCs w:val="22"/>
        </w:rPr>
        <w:t>政府采购合同分包履行的，中标、成交供应商就采购项目和分包项目向采购人负责，分包供应商就分包项目承担责任。</w:t>
      </w:r>
    </w:p>
    <w:p w14:paraId="7B2C8242">
      <w:pPr>
        <w:numPr>
          <w:ilvl w:val="0"/>
          <w:numId w:val="7"/>
        </w:numPr>
        <w:spacing w:line="360" w:lineRule="auto"/>
        <w:rPr>
          <w:rFonts w:ascii="宋体"/>
          <w:sz w:val="22"/>
          <w:szCs w:val="22"/>
        </w:rPr>
      </w:pPr>
      <w:r>
        <w:rPr>
          <w:rFonts w:hint="eastAsia" w:ascii="宋体" w:hAnsi="宋体" w:cs="宋体"/>
          <w:b/>
          <w:bCs/>
          <w:color w:val="000000"/>
          <w:sz w:val="22"/>
          <w:szCs w:val="22"/>
        </w:rPr>
        <w:t>政府采购合同履行中合同标的的追加</w:t>
      </w:r>
    </w:p>
    <w:p w14:paraId="75547464">
      <w:pPr>
        <w:numPr>
          <w:ilvl w:val="1"/>
          <w:numId w:val="7"/>
        </w:numPr>
        <w:spacing w:line="360" w:lineRule="auto"/>
        <w:rPr>
          <w:rFonts w:ascii="宋体"/>
          <w:sz w:val="36"/>
          <w:szCs w:val="36"/>
        </w:rPr>
      </w:pPr>
      <w:r>
        <w:rPr>
          <w:rFonts w:hint="eastAsia" w:ascii="宋体" w:hAnsi="宋体" w:cs="宋体"/>
          <w:sz w:val="22"/>
          <w:szCs w:val="22"/>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bookmarkEnd w:id="16"/>
    <w:bookmarkEnd w:id="17"/>
    <w:p w14:paraId="53AC98B0">
      <w:pPr>
        <w:pageBreakBefore/>
        <w:numPr>
          <w:ilvl w:val="0"/>
          <w:numId w:val="8"/>
        </w:numPr>
        <w:spacing w:line="360" w:lineRule="auto"/>
        <w:jc w:val="center"/>
        <w:outlineLvl w:val="0"/>
        <w:rPr>
          <w:rFonts w:ascii="宋体"/>
          <w:b/>
          <w:bCs/>
          <w:kern w:val="0"/>
          <w:sz w:val="36"/>
          <w:szCs w:val="36"/>
        </w:rPr>
      </w:pPr>
      <w:bookmarkStart w:id="38" w:name="_Toc28982"/>
      <w:bookmarkStart w:id="39" w:name="_Toc274816735"/>
      <w:r>
        <w:rPr>
          <w:rFonts w:ascii="宋体" w:hAnsi="宋体" w:cs="宋体"/>
          <w:b/>
          <w:bCs/>
          <w:kern w:val="0"/>
          <w:sz w:val="36"/>
          <w:szCs w:val="36"/>
        </w:rPr>
        <w:t xml:space="preserve"> </w:t>
      </w:r>
      <w:bookmarkStart w:id="40" w:name="_Toc28088"/>
      <w:bookmarkStart w:id="41" w:name="_Toc3611"/>
      <w:bookmarkStart w:id="42" w:name="_Toc29974"/>
      <w:bookmarkStart w:id="43" w:name="_Toc6186"/>
      <w:r>
        <w:rPr>
          <w:rFonts w:hint="eastAsia" w:ascii="宋体" w:hAnsi="宋体" w:cs="宋体"/>
          <w:b/>
          <w:bCs/>
          <w:kern w:val="0"/>
          <w:sz w:val="36"/>
          <w:szCs w:val="36"/>
        </w:rPr>
        <w:t>采购</w:t>
      </w:r>
      <w:r>
        <w:rPr>
          <w:rFonts w:hint="eastAsia" w:ascii="宋体" w:hAnsi="宋体" w:cs="宋体"/>
          <w:b/>
          <w:bCs/>
          <w:kern w:val="0"/>
          <w:sz w:val="36"/>
          <w:szCs w:val="36"/>
          <w:lang w:val="en-US" w:eastAsia="zh-CN"/>
        </w:rPr>
        <w:t>项目</w:t>
      </w:r>
      <w:r>
        <w:rPr>
          <w:rFonts w:hint="eastAsia" w:ascii="宋体" w:hAnsi="宋体" w:cs="宋体"/>
          <w:b/>
          <w:bCs/>
          <w:kern w:val="0"/>
          <w:sz w:val="36"/>
          <w:szCs w:val="36"/>
        </w:rPr>
        <w:t>需求及要求</w:t>
      </w:r>
      <w:bookmarkEnd w:id="38"/>
      <w:bookmarkEnd w:id="40"/>
      <w:bookmarkEnd w:id="41"/>
      <w:bookmarkEnd w:id="42"/>
      <w:bookmarkEnd w:id="43"/>
    </w:p>
    <w:bookmarkEnd w:id="39"/>
    <w:p w14:paraId="69A32F12">
      <w:pPr>
        <w:spacing w:line="360" w:lineRule="auto"/>
        <w:jc w:val="center"/>
        <w:rPr>
          <w:rFonts w:hint="eastAsia" w:ascii="方正小标宋简体" w:hAnsi="方正小标宋简体" w:eastAsia="方正小标宋简体" w:cs="方正小标宋简体"/>
          <w:color w:val="auto"/>
          <w:sz w:val="32"/>
          <w:szCs w:val="32"/>
          <w:highlight w:val="none"/>
          <w:lang w:eastAsia="zh-CN"/>
        </w:rPr>
      </w:pPr>
      <w:bookmarkStart w:id="44" w:name="_Toc24881"/>
      <w:bookmarkStart w:id="45" w:name="_Toc22989"/>
      <w:bookmarkStart w:id="46" w:name="_Toc16655"/>
      <w:bookmarkStart w:id="47" w:name="_Toc9692"/>
      <w:bookmarkStart w:id="48" w:name="_Toc24496"/>
      <w:bookmarkStart w:id="49" w:name="_Toc373314705"/>
      <w:bookmarkStart w:id="50" w:name="_Toc423078602"/>
      <w:r>
        <w:rPr>
          <w:rFonts w:hint="eastAsia" w:ascii="方正小标宋简体" w:hAnsi="方正小标宋简体" w:eastAsia="方正小标宋简体" w:cs="方正小标宋简体"/>
          <w:color w:val="auto"/>
          <w:sz w:val="32"/>
          <w:szCs w:val="32"/>
          <w:highlight w:val="none"/>
          <w:lang w:eastAsia="zh-CN"/>
        </w:rPr>
        <w:t>第一部分  商务要求</w:t>
      </w:r>
    </w:p>
    <w:p w14:paraId="4E574C49">
      <w:pPr>
        <w:keepNext w:val="0"/>
        <w:keepLines w:val="0"/>
        <w:pageBreakBefore w:val="0"/>
        <w:widowControl w:val="0"/>
        <w:kinsoku/>
        <w:wordWrap/>
        <w:overflowPunct/>
        <w:topLinePunct w:val="0"/>
        <w:bidi w:val="0"/>
        <w:snapToGrid w:val="0"/>
        <w:spacing w:line="360" w:lineRule="auto"/>
        <w:textAlignment w:val="auto"/>
        <w:rPr>
          <w:rFonts w:hint="eastAsia"/>
          <w:color w:val="auto"/>
          <w:sz w:val="24"/>
          <w:szCs w:val="22"/>
          <w:highlight w:val="none"/>
          <w:lang w:val="en-US" w:eastAsia="zh-CN"/>
        </w:rPr>
      </w:pPr>
      <w:r>
        <w:rPr>
          <w:rFonts w:hint="eastAsia"/>
          <w:color w:val="auto"/>
          <w:sz w:val="24"/>
          <w:szCs w:val="22"/>
          <w:highlight w:val="none"/>
          <w:lang w:val="en-US" w:eastAsia="zh-CN"/>
        </w:rPr>
        <w:t xml:space="preserve"> </w:t>
      </w:r>
    </w:p>
    <w:p w14:paraId="74D1BA17">
      <w:pPr>
        <w:keepNext w:val="0"/>
        <w:keepLines w:val="0"/>
        <w:pageBreakBefore w:val="0"/>
        <w:widowControl w:val="0"/>
        <w:kinsoku/>
        <w:wordWrap/>
        <w:overflowPunct/>
        <w:topLinePunct w:val="0"/>
        <w:bidi w:val="0"/>
        <w:snapToGrid w:val="0"/>
        <w:spacing w:line="360" w:lineRule="auto"/>
        <w:ind w:firstLine="240" w:firstLineChars="100"/>
        <w:textAlignment w:val="auto"/>
        <w:rPr>
          <w:color w:val="auto"/>
          <w:sz w:val="24"/>
          <w:szCs w:val="22"/>
          <w:highlight w:val="none"/>
        </w:rPr>
      </w:pPr>
      <w:r>
        <w:rPr>
          <w:rFonts w:hint="eastAsia"/>
          <w:color w:val="auto"/>
          <w:sz w:val="24"/>
          <w:szCs w:val="22"/>
          <w:highlight w:val="none"/>
        </w:rPr>
        <w:t>一、报价要求</w:t>
      </w:r>
    </w:p>
    <w:p w14:paraId="645DB711">
      <w:pPr>
        <w:keepNext w:val="0"/>
        <w:keepLines w:val="0"/>
        <w:pageBreakBefore w:val="0"/>
        <w:widowControl w:val="0"/>
        <w:kinsoku/>
        <w:wordWrap/>
        <w:overflowPunct/>
        <w:topLinePunct w:val="0"/>
        <w:bidi w:val="0"/>
        <w:snapToGrid w:val="0"/>
        <w:spacing w:line="360" w:lineRule="auto"/>
        <w:textAlignment w:val="auto"/>
        <w:rPr>
          <w:color w:val="auto"/>
          <w:sz w:val="24"/>
          <w:szCs w:val="22"/>
          <w:highlight w:val="none"/>
        </w:rPr>
      </w:pPr>
      <w:r>
        <w:rPr>
          <w:rFonts w:hint="eastAsia"/>
          <w:color w:val="auto"/>
          <w:sz w:val="24"/>
          <w:szCs w:val="22"/>
          <w:highlight w:val="none"/>
        </w:rPr>
        <w:t xml:space="preserve">    1. 投标报价以人民币填列。</w:t>
      </w:r>
    </w:p>
    <w:p w14:paraId="0470CD82">
      <w:pPr>
        <w:keepNext w:val="0"/>
        <w:keepLines w:val="0"/>
        <w:pageBreakBefore w:val="0"/>
        <w:widowControl w:val="0"/>
        <w:numPr>
          <w:ilvl w:val="0"/>
          <w:numId w:val="9"/>
        </w:numPr>
        <w:kinsoku/>
        <w:wordWrap/>
        <w:overflowPunct/>
        <w:topLinePunct w:val="0"/>
        <w:bidi w:val="0"/>
        <w:snapToGrid w:val="0"/>
        <w:spacing w:line="360" w:lineRule="auto"/>
        <w:ind w:firstLine="480"/>
        <w:textAlignment w:val="auto"/>
        <w:rPr>
          <w:rFonts w:hint="eastAsia"/>
          <w:color w:val="auto"/>
          <w:sz w:val="24"/>
          <w:szCs w:val="22"/>
          <w:highlight w:val="none"/>
        </w:rPr>
      </w:pPr>
      <w:r>
        <w:rPr>
          <w:rFonts w:hint="eastAsia"/>
          <w:color w:val="auto"/>
          <w:sz w:val="24"/>
          <w:szCs w:val="22"/>
          <w:highlight w:val="none"/>
        </w:rPr>
        <w:t>投标人的报价应包括：</w:t>
      </w:r>
      <w:r>
        <w:rPr>
          <w:rFonts w:hint="eastAsia"/>
          <w:color w:val="auto"/>
          <w:sz w:val="24"/>
          <w:szCs w:val="22"/>
          <w:highlight w:val="none"/>
          <w:lang w:eastAsia="zh-CN"/>
        </w:rPr>
        <w:t>包含所有内容的报价。</w:t>
      </w:r>
    </w:p>
    <w:p w14:paraId="3DF8FD71">
      <w:pPr>
        <w:keepNext w:val="0"/>
        <w:keepLines w:val="0"/>
        <w:pageBreakBefore w:val="0"/>
        <w:widowControl w:val="0"/>
        <w:kinsoku/>
        <w:wordWrap/>
        <w:overflowPunct/>
        <w:topLinePunct w:val="0"/>
        <w:bidi w:val="0"/>
        <w:snapToGrid w:val="0"/>
        <w:spacing w:line="360" w:lineRule="auto"/>
        <w:textAlignment w:val="auto"/>
        <w:rPr>
          <w:rFonts w:hint="default"/>
          <w:color w:val="auto"/>
          <w:sz w:val="24"/>
          <w:highlight w:val="none"/>
          <w:lang w:val="en-US"/>
        </w:rPr>
      </w:pPr>
      <w:r>
        <w:rPr>
          <w:rFonts w:hint="eastAsia"/>
          <w:color w:val="auto"/>
          <w:sz w:val="24"/>
          <w:szCs w:val="22"/>
          <w:highlight w:val="none"/>
          <w:lang w:val="en-US" w:eastAsia="zh-CN"/>
        </w:rPr>
        <w:t xml:space="preserve">  </w:t>
      </w: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服务期限：</w:t>
      </w:r>
      <w:r>
        <w:rPr>
          <w:rFonts w:hint="eastAsia"/>
          <w:color w:val="auto"/>
          <w:sz w:val="24"/>
          <w:highlight w:val="none"/>
          <w:lang w:val="en-US" w:eastAsia="zh-CN"/>
        </w:rPr>
        <w:t xml:space="preserve">合同签订后  </w:t>
      </w:r>
    </w:p>
    <w:p w14:paraId="31418D42">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  </w:t>
      </w:r>
      <w:r>
        <w:rPr>
          <w:rFonts w:hint="eastAsia"/>
          <w:color w:val="auto"/>
          <w:sz w:val="24"/>
          <w:szCs w:val="24"/>
          <w:highlight w:val="none"/>
          <w:lang w:eastAsia="zh-CN"/>
        </w:rPr>
        <w:t>三</w:t>
      </w:r>
      <w:r>
        <w:rPr>
          <w:rFonts w:hint="eastAsia"/>
          <w:color w:val="auto"/>
          <w:sz w:val="24"/>
          <w:szCs w:val="24"/>
          <w:highlight w:val="none"/>
        </w:rPr>
        <w:t>、付款方式：合同签订后10个工作日内支付合同总金额的45%，项目验收通过后10个工作日内支付合同总金额的50%，项目验收通过满1年后10个工作日内支付合同总金额的5%。</w:t>
      </w:r>
      <w:r>
        <w:rPr>
          <w:rFonts w:hint="eastAsia"/>
          <w:color w:val="auto"/>
          <w:sz w:val="24"/>
          <w:szCs w:val="24"/>
          <w:highlight w:val="none"/>
          <w:lang w:val="en-US" w:eastAsia="zh-CN"/>
        </w:rPr>
        <w:t xml:space="preserve">  </w:t>
      </w:r>
    </w:p>
    <w:p w14:paraId="50BE5B4A">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 xml:space="preserve">  四、履约保证金：不收取</w:t>
      </w:r>
    </w:p>
    <w:p w14:paraId="041D8239">
      <w:pPr>
        <w:rPr>
          <w:rFonts w:hint="eastAsia" w:ascii="Times New Roman"/>
          <w:color w:val="auto"/>
          <w:highlight w:val="none"/>
          <w:lang w:eastAsia="zh-CN"/>
        </w:rPr>
      </w:pPr>
    </w:p>
    <w:p w14:paraId="09E1E9FC">
      <w:pPr>
        <w:pStyle w:val="35"/>
        <w:tabs>
          <w:tab w:val="right" w:leader="dot" w:pos="8400"/>
        </w:tabs>
        <w:rPr>
          <w:rFonts w:hint="eastAsia" w:ascii="Times New Roman"/>
          <w:color w:val="auto"/>
          <w:highlight w:val="none"/>
          <w:lang w:eastAsia="zh-CN"/>
        </w:rPr>
      </w:pPr>
    </w:p>
    <w:p w14:paraId="0A1F9592">
      <w:pPr>
        <w:rPr>
          <w:rFonts w:hint="eastAsia" w:ascii="Times New Roman"/>
          <w:color w:val="auto"/>
          <w:highlight w:val="none"/>
          <w:lang w:eastAsia="zh-CN"/>
        </w:rPr>
      </w:pPr>
    </w:p>
    <w:p w14:paraId="5A826F09">
      <w:pPr>
        <w:pStyle w:val="35"/>
        <w:tabs>
          <w:tab w:val="right" w:leader="dot" w:pos="8400"/>
        </w:tabs>
        <w:rPr>
          <w:rFonts w:hint="eastAsia" w:ascii="Times New Roman"/>
          <w:color w:val="auto"/>
          <w:highlight w:val="none"/>
          <w:lang w:eastAsia="zh-CN"/>
        </w:rPr>
      </w:pPr>
    </w:p>
    <w:p w14:paraId="142B3E24">
      <w:pPr>
        <w:rPr>
          <w:rFonts w:hint="eastAsia" w:ascii="Times New Roman"/>
          <w:color w:val="auto"/>
          <w:highlight w:val="none"/>
          <w:lang w:eastAsia="zh-CN"/>
        </w:rPr>
      </w:pPr>
    </w:p>
    <w:p w14:paraId="0635090B">
      <w:pPr>
        <w:keepNext w:val="0"/>
        <w:keepLines w:val="0"/>
        <w:pageBreakBefore/>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eastAsia="zh-CN"/>
        </w:rPr>
        <w:t>第二部分</w:t>
      </w:r>
      <w:r>
        <w:rPr>
          <w:rFonts w:hint="eastAsia" w:ascii="方正小标宋简体" w:hAnsi="方正小标宋简体" w:eastAsia="方正小标宋简体" w:cs="方正小标宋简体"/>
          <w:color w:val="auto"/>
          <w:sz w:val="32"/>
          <w:szCs w:val="32"/>
          <w:highlight w:val="none"/>
          <w:lang w:val="en-US" w:eastAsia="zh-CN"/>
        </w:rPr>
        <w:t xml:space="preserve"> 技术需求</w:t>
      </w:r>
    </w:p>
    <w:p w14:paraId="62C20DFE">
      <w:pPr>
        <w:bidi w:val="0"/>
        <w:rPr>
          <w:rFonts w:hint="eastAsia" w:ascii="Times New Roman" w:hAnsi="Times New Roman" w:eastAsia="宋体" w:cs="Times New Roman"/>
          <w:kern w:val="2"/>
          <w:sz w:val="21"/>
          <w:szCs w:val="21"/>
          <w:lang w:val="en-US" w:eastAsia="zh-CN" w:bidi="ar-SA"/>
        </w:rPr>
      </w:pPr>
    </w:p>
    <w:p w14:paraId="2C39BE4C">
      <w:pPr>
        <w:widowControl w:val="0"/>
        <w:numPr>
          <w:ilvl w:val="0"/>
          <w:numId w:val="0"/>
        </w:numPr>
        <w:spacing w:after="120"/>
        <w:ind w:leftChars="0" w:firstLine="281" w:firstLineChars="100"/>
        <w:jc w:val="both"/>
        <w:rPr>
          <w:rFonts w:hint="eastAsia" w:ascii="仿宋_GB2312" w:hAnsi="仿宋_GB2312" w:eastAsia="仿宋_GB2312" w:cs="仿宋_GB2312"/>
          <w:b/>
          <w:bCs/>
          <w:color w:val="auto"/>
          <w:kern w:val="2"/>
          <w:sz w:val="28"/>
          <w:szCs w:val="28"/>
          <w:highlight w:val="none"/>
          <w:shd w:val="clear" w:color="auto" w:fill="auto"/>
          <w:lang w:val="en-US" w:eastAsia="zh-CN" w:bidi="ar-SA"/>
        </w:rPr>
      </w:pPr>
      <w:r>
        <w:rPr>
          <w:rFonts w:hint="eastAsia" w:ascii="仿宋_GB2312" w:hAnsi="仿宋_GB2312" w:eastAsia="仿宋_GB2312" w:cs="仿宋_GB2312"/>
          <w:b/>
          <w:bCs/>
          <w:color w:val="auto"/>
          <w:kern w:val="2"/>
          <w:sz w:val="28"/>
          <w:szCs w:val="28"/>
          <w:highlight w:val="none"/>
          <w:shd w:val="clear" w:color="auto" w:fill="auto"/>
          <w:lang w:val="en-US" w:eastAsia="zh-CN" w:bidi="ar-SA"/>
        </w:rPr>
        <w:t>1.建设目标</w:t>
      </w:r>
    </w:p>
    <w:p w14:paraId="769D1CB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为贯彻落实数字政府建设要求，深化住房公积金数字化发展，坚持以人民为中心的发展思想，综合陇南市住房公积金管理中心实际，开展灵缴体系建设、移动审批、亮码可办等工作，并充分共性应用，对接甘快办、甘肃省住房公积金区域一体化共享协同平台等平台，将获取的共享信息应用于更多公积金业务场景，实现更高水平服务便民，进一步扩大缴存群体覆盖面，持续提升社会群众办事的体验感、获得感和幸福感，加快推动住房公积金事业高质量发展走深走实。</w:t>
      </w:r>
    </w:p>
    <w:p w14:paraId="2516BB22">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auto"/>
          <w:sz w:val="28"/>
          <w:szCs w:val="28"/>
          <w:highlight w:val="none"/>
          <w:shd w:val="clear" w:color="auto" w:fill="auto"/>
          <w:lang w:val="en-US" w:eastAsia="zh-CN" w:bidi="ar-SA"/>
        </w:rPr>
      </w:pPr>
      <w:r>
        <w:rPr>
          <w:rFonts w:hint="eastAsia" w:ascii="仿宋_GB2312" w:hAnsi="仿宋_GB2312" w:eastAsia="仿宋_GB2312" w:cs="仿宋_GB2312"/>
          <w:b/>
          <w:bCs/>
          <w:color w:val="auto"/>
          <w:sz w:val="28"/>
          <w:szCs w:val="28"/>
          <w:highlight w:val="none"/>
          <w:shd w:val="clear" w:color="auto" w:fill="auto"/>
          <w:lang w:val="en-US" w:eastAsia="zh-CN" w:bidi="ar-SA"/>
        </w:rPr>
        <w:t>建设依据</w:t>
      </w:r>
    </w:p>
    <w:p w14:paraId="4366D1F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（1）《国务院关于加强数字政府建设的指导意见》（国发〔2022〕14号）；</w:t>
      </w:r>
    </w:p>
    <w:p w14:paraId="554DF7E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（2）《中华人民共和国国民经济和社会发展第十四个五年规划和2035年远景目标纲要》；</w:t>
      </w:r>
    </w:p>
    <w:p w14:paraId="01D805C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（3）《国务院关于印发“十四五”数字经济发展规划的通知》（国发〔2021〕29号）；</w:t>
      </w:r>
    </w:p>
    <w:p w14:paraId="62FB221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（4）国家发展改革委关于印发《“十四五”推进国家政务信息化规划》的通知（发改高技〔2021〕1898号）；</w:t>
      </w:r>
    </w:p>
    <w:p w14:paraId="1A442C9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（5）国家发展改革委关于印发《“十四五”公共服务规划》的通知（发改社会〔2021〕1946号）；</w:t>
      </w:r>
    </w:p>
    <w:p w14:paraId="3A5DD2C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（6）《扎实推动共同富裕》（2021年8月17日中央财经委员会第十次会议）；</w:t>
      </w:r>
    </w:p>
    <w:p w14:paraId="22CACFC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（7）《住房和城乡建设部关于加快住房公积金数字化发展的指导意见》（建金〔2022〕82号）；</w:t>
      </w:r>
    </w:p>
    <w:p w14:paraId="1C32EFE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（8）《住房城乡建设部办公厅关于整合住房公积金个人证明事项推动“亮码可办”工作的通知》（建办金〔2023〕29号）；</w:t>
      </w:r>
    </w:p>
    <w:p w14:paraId="015BD41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（9）《“惠民公积金、服务暖人心”全国住房公积金系统服务提升三年行动实施方案（2022-2024年）》（建办金〔2022〕25号）；</w:t>
      </w:r>
    </w:p>
    <w:p w14:paraId="6088FF9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（10）甘肃省人民政府办公厅《甘肃省数字政府建设总体规划（2021—2025）》（甘政办发〔2021〕113号）。</w:t>
      </w:r>
    </w:p>
    <w:p w14:paraId="7526B33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（11）甘肃省人民政府办公厅《甘肃省数字政府建设总体规划（2021—2025）》（甘政办发〔2021〕113号）。</w:t>
      </w:r>
    </w:p>
    <w:p w14:paraId="42BADBED">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auto"/>
          <w:sz w:val="28"/>
          <w:szCs w:val="28"/>
          <w:highlight w:val="none"/>
          <w:shd w:val="clear" w:color="auto" w:fill="auto"/>
          <w:lang w:val="en-US" w:eastAsia="zh-CN" w:bidi="ar-SA"/>
        </w:rPr>
      </w:pPr>
      <w:r>
        <w:rPr>
          <w:rFonts w:hint="eastAsia" w:ascii="仿宋_GB2312" w:hAnsi="仿宋_GB2312" w:eastAsia="仿宋_GB2312" w:cs="仿宋_GB2312"/>
          <w:b/>
          <w:bCs/>
          <w:color w:val="auto"/>
          <w:sz w:val="28"/>
          <w:szCs w:val="28"/>
          <w:highlight w:val="none"/>
          <w:shd w:val="clear" w:color="auto" w:fill="auto"/>
          <w:lang w:val="en-US" w:eastAsia="zh-CN" w:bidi="ar-SA"/>
        </w:rPr>
        <w:t>标准规范</w:t>
      </w:r>
    </w:p>
    <w:p w14:paraId="150A098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（1）《住房公积金管理条例》；</w:t>
      </w:r>
    </w:p>
    <w:p w14:paraId="42E8392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（2）《住房公积金区域一体化共享协同平台公共接口规范v3.0.13》；</w:t>
      </w:r>
    </w:p>
    <w:p w14:paraId="0CE2EA1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（3）《住房公积金信息化建设导则》；</w:t>
      </w:r>
    </w:p>
    <w:p w14:paraId="5207E9C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（4）《住房公积金信息系统技术规范》；</w:t>
      </w:r>
    </w:p>
    <w:p w14:paraId="253787E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（5）《住房公积金基础数据标准》；</w:t>
      </w:r>
    </w:p>
    <w:p w14:paraId="4B55BE9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（6）《住房公积金业务档案管理标准》；</w:t>
      </w:r>
    </w:p>
    <w:p w14:paraId="70D719B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（7）《商用密码应用安全性评估管理办法》；</w:t>
      </w:r>
    </w:p>
    <w:p w14:paraId="4BEF356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（8）《信息安全技术政务信息共享数据安全技术要求》（GB/T39477-2020）；</w:t>
      </w:r>
    </w:p>
    <w:p w14:paraId="14D9914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（9）《信息安全技术信息系统密码应用基本要求》（GB/T39786-2021）</w:t>
      </w:r>
    </w:p>
    <w:p w14:paraId="54ACD5F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（10）《信息安全技术网络数据处理安全要求》（GB/T41479-2022）；</w:t>
      </w:r>
    </w:p>
    <w:p w14:paraId="426844F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（11）《信息安全技术网络安全信息共享指南》（GB/Z 42885-2023）。</w:t>
      </w:r>
    </w:p>
    <w:p w14:paraId="1AFEFD8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color w:val="auto"/>
          <w:sz w:val="28"/>
          <w:szCs w:val="28"/>
          <w:highlight w:val="none"/>
          <w:shd w:val="clear" w:color="auto" w:fill="auto"/>
          <w:lang w:val="en-US" w:eastAsia="zh-CN" w:bidi="ar-SA"/>
        </w:rPr>
      </w:pPr>
      <w:r>
        <w:rPr>
          <w:rFonts w:hint="eastAsia" w:ascii="仿宋_GB2312" w:hAnsi="仿宋_GB2312" w:eastAsia="仿宋_GB2312" w:cs="仿宋_GB2312"/>
          <w:b/>
          <w:bCs/>
          <w:color w:val="auto"/>
          <w:sz w:val="28"/>
          <w:szCs w:val="28"/>
          <w:highlight w:val="none"/>
          <w:shd w:val="clear" w:color="auto" w:fill="auto"/>
          <w:lang w:val="en-US" w:eastAsia="zh-CN" w:bidi="ar-SA"/>
        </w:rPr>
        <w:t>4.采购内容</w:t>
      </w:r>
    </w:p>
    <w:p w14:paraId="1E3BDA2B">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仿宋_GB2312" w:hAnsi="仿宋_GB2312" w:eastAsia="仿宋_GB2312" w:cs="仿宋_GB2312"/>
          <w:b/>
          <w:bCs/>
          <w:color w:val="auto"/>
          <w:sz w:val="28"/>
          <w:szCs w:val="28"/>
          <w:highlight w:val="none"/>
          <w:shd w:val="clear" w:color="auto" w:fill="auto"/>
          <w:lang w:val="en-US" w:eastAsia="zh-CN" w:bidi="ar-SA"/>
        </w:rPr>
      </w:pPr>
      <w:r>
        <w:rPr>
          <w:rFonts w:hint="eastAsia" w:ascii="仿宋_GB2312" w:hAnsi="仿宋_GB2312" w:eastAsia="仿宋_GB2312" w:cs="仿宋_GB2312"/>
          <w:b/>
          <w:bCs/>
          <w:color w:val="auto"/>
          <w:sz w:val="28"/>
          <w:szCs w:val="28"/>
          <w:highlight w:val="none"/>
          <w:shd w:val="clear" w:color="auto" w:fill="auto"/>
          <w:lang w:val="en-US" w:eastAsia="zh-CN" w:bidi="ar-SA"/>
        </w:rPr>
        <w:t>4.1.1灵缴体系建设</w:t>
      </w:r>
    </w:p>
    <w:p w14:paraId="598F4C0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全面梳理缴存业务可复用、可修改与新增事项，保证系统业务事项无遗漏，完成业务及财务报表修改，在现有系统增加灵活就业缴存系统各功能模块，满足灵活就业人员缴存、提取、贷款等业务需求，同时开通移动端业务办理功能，方便灵活就业人员通过移动设备足不出户完成业务办理，助力缴存业务制度扩面、灵活缴存、便捷提取、精准配贷。</w:t>
      </w:r>
    </w:p>
    <w:p w14:paraId="314F75C1">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仿宋_GB2312" w:hAnsi="仿宋_GB2312" w:eastAsia="仿宋_GB2312" w:cs="仿宋_GB2312"/>
          <w:b/>
          <w:bCs/>
          <w:color w:val="auto"/>
          <w:sz w:val="28"/>
          <w:szCs w:val="28"/>
          <w:highlight w:val="none"/>
          <w:shd w:val="clear" w:color="auto" w:fill="auto"/>
          <w:lang w:val="en-US" w:eastAsia="zh-CN" w:bidi="ar-SA"/>
        </w:rPr>
      </w:pPr>
      <w:r>
        <w:rPr>
          <w:rFonts w:hint="eastAsia" w:ascii="仿宋_GB2312" w:hAnsi="仿宋_GB2312" w:eastAsia="仿宋_GB2312" w:cs="仿宋_GB2312"/>
          <w:b/>
          <w:bCs/>
          <w:color w:val="auto"/>
          <w:sz w:val="28"/>
          <w:szCs w:val="28"/>
          <w:highlight w:val="none"/>
          <w:shd w:val="clear" w:color="auto" w:fill="auto"/>
          <w:lang w:val="en-US" w:eastAsia="zh-CN" w:bidi="ar-SA"/>
        </w:rPr>
        <w:t>4.1.2移动审批</w:t>
      </w:r>
    </w:p>
    <w:p w14:paraId="50642DF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通过移动端，开展业务流程审批、任务下达、工作反馈以及信息查询等全部事项移动办工作，可实时跟进审批流程，进度可视可控，审批人员可通过待办事项直接进入审批页面，在移动端即可快速完成所有事项审批，大幅提高信息流转效率，实现所有事项数据全程留痕、有据可查，打破时间、空间限制，实现随时随地办公。</w:t>
      </w:r>
    </w:p>
    <w:p w14:paraId="758FB300">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仿宋_GB2312" w:hAnsi="仿宋_GB2312" w:eastAsia="仿宋_GB2312" w:cs="仿宋_GB2312"/>
          <w:b/>
          <w:bCs/>
          <w:color w:val="auto"/>
          <w:sz w:val="28"/>
          <w:szCs w:val="28"/>
          <w:highlight w:val="none"/>
          <w:shd w:val="clear" w:color="auto" w:fill="auto"/>
          <w:lang w:val="en-US" w:eastAsia="zh-CN" w:bidi="ar-SA"/>
        </w:rPr>
      </w:pPr>
      <w:r>
        <w:rPr>
          <w:rFonts w:hint="eastAsia" w:ascii="仿宋_GB2312" w:hAnsi="仿宋_GB2312" w:eastAsia="仿宋_GB2312" w:cs="仿宋_GB2312"/>
          <w:b/>
          <w:bCs/>
          <w:color w:val="auto"/>
          <w:sz w:val="28"/>
          <w:szCs w:val="28"/>
          <w:highlight w:val="none"/>
          <w:shd w:val="clear" w:color="auto" w:fill="auto"/>
          <w:lang w:val="en-US" w:eastAsia="zh-CN" w:bidi="ar-SA"/>
        </w:rPr>
        <w:t>4.1.3亮码可办</w:t>
      </w:r>
    </w:p>
    <w:p w14:paraId="66C23CE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依据“亮码可办”工作流程及服务标准化规范化便利化要求，综合本地住房公积金发展实际，本次建设包括对接住建部数据共享平台“亮码可办”服务、“亮码可办”核验、“电子码”信息固化归档、《个人信息表》解析返显等4项工作内容。</w:t>
      </w:r>
    </w:p>
    <w:p w14:paraId="669B3314">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仿宋_GB2312" w:hAnsi="仿宋_GB2312" w:eastAsia="仿宋_GB2312" w:cs="仿宋_GB2312"/>
          <w:b/>
          <w:bCs/>
          <w:color w:val="auto"/>
          <w:sz w:val="28"/>
          <w:szCs w:val="28"/>
          <w:highlight w:val="none"/>
          <w:shd w:val="clear" w:color="auto" w:fill="auto"/>
          <w:lang w:val="en-US" w:eastAsia="zh-CN" w:bidi="ar-SA"/>
        </w:rPr>
      </w:pPr>
      <w:r>
        <w:rPr>
          <w:rFonts w:hint="eastAsia" w:ascii="仿宋_GB2312" w:hAnsi="仿宋_GB2312" w:eastAsia="仿宋_GB2312" w:cs="仿宋_GB2312"/>
          <w:b/>
          <w:bCs/>
          <w:color w:val="auto"/>
          <w:sz w:val="28"/>
          <w:szCs w:val="28"/>
          <w:highlight w:val="none"/>
          <w:shd w:val="clear" w:color="auto" w:fill="auto"/>
          <w:lang w:val="en-US" w:eastAsia="zh-CN" w:bidi="ar-SA"/>
        </w:rPr>
        <w:t>4.1.4接入甘快办</w:t>
      </w:r>
    </w:p>
    <w:p w14:paraId="507692D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接入“甘快办”，实现缴存登记、偿还购房提取、翻建自住房提取、提前还款、购买二手房提取、购买新建房提取、购买自住房提取、终止劳动关系提取、租赁自住房提取等事项“一网通办”。</w:t>
      </w:r>
    </w:p>
    <w:p w14:paraId="41A02B8F">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仿宋_GB2312" w:hAnsi="仿宋_GB2312" w:eastAsia="仿宋_GB2312" w:cs="仿宋_GB2312"/>
          <w:b/>
          <w:bCs/>
          <w:color w:val="auto"/>
          <w:sz w:val="28"/>
          <w:szCs w:val="28"/>
          <w:highlight w:val="none"/>
          <w:shd w:val="clear" w:color="auto" w:fill="auto"/>
          <w:lang w:val="en-US" w:eastAsia="zh-CN" w:bidi="ar-SA"/>
        </w:rPr>
      </w:pPr>
      <w:r>
        <w:rPr>
          <w:rFonts w:hint="eastAsia" w:ascii="仿宋_GB2312" w:hAnsi="仿宋_GB2312" w:eastAsia="仿宋_GB2312" w:cs="仿宋_GB2312"/>
          <w:b/>
          <w:bCs/>
          <w:color w:val="auto"/>
          <w:sz w:val="28"/>
          <w:szCs w:val="28"/>
          <w:highlight w:val="none"/>
          <w:shd w:val="clear" w:color="auto" w:fill="auto"/>
          <w:lang w:val="en-US" w:eastAsia="zh-CN" w:bidi="ar-SA"/>
        </w:rPr>
        <w:t>4.1.5接入甘肃省住房公积金区域一体化共享协同平台</w:t>
      </w:r>
    </w:p>
    <w:p w14:paraId="5A4E64F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default" w:ascii="仿宋_GB2312" w:hAnsi="仿宋_GB2312" w:eastAsia="仿宋_GB2312" w:cs="仿宋_GB2312"/>
          <w:b/>
          <w:bCs/>
          <w:color w:val="auto"/>
          <w:sz w:val="28"/>
          <w:szCs w:val="28"/>
          <w:highlight w:val="non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运用甘肃省住房公积金区域一体化共享协同平台，进一步扩大数据共享范围，工作内容包括对接单位信息分发、信息共享、贷款信息查询、风险防范协同、查询业务、授权业务等数据共享接口。</w:t>
      </w:r>
    </w:p>
    <w:p w14:paraId="308BFC69">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仿宋_GB2312" w:hAnsi="仿宋_GB2312" w:eastAsia="仿宋_GB2312" w:cs="仿宋_GB2312"/>
          <w:b/>
          <w:bCs/>
          <w:color w:val="auto"/>
          <w:sz w:val="28"/>
          <w:szCs w:val="28"/>
          <w:highlight w:val="none"/>
          <w:shd w:val="clear" w:color="auto" w:fill="auto"/>
          <w:lang w:val="en-US" w:eastAsia="zh-CN" w:bidi="ar-SA"/>
        </w:rPr>
      </w:pPr>
      <w:r>
        <w:rPr>
          <w:rFonts w:hint="eastAsia" w:ascii="仿宋_GB2312" w:hAnsi="仿宋_GB2312" w:eastAsia="仿宋_GB2312" w:cs="仿宋_GB2312"/>
          <w:b/>
          <w:bCs/>
          <w:color w:val="auto"/>
          <w:sz w:val="28"/>
          <w:szCs w:val="28"/>
          <w:highlight w:val="none"/>
          <w:shd w:val="clear" w:color="auto" w:fill="auto"/>
          <w:lang w:val="en-US" w:eastAsia="zh-CN" w:bidi="ar-SA"/>
        </w:rPr>
        <w:t>4.2采购清单</w:t>
      </w:r>
    </w:p>
    <w:tbl>
      <w:tblPr>
        <w:tblStyle w:val="4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7"/>
        <w:gridCol w:w="2069"/>
        <w:gridCol w:w="5056"/>
        <w:gridCol w:w="637"/>
      </w:tblGrid>
      <w:tr w14:paraId="0CB1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gridSpan w:val="4"/>
            <w:tcBorders>
              <w:top w:val="nil"/>
              <w:left w:val="nil"/>
              <w:bottom w:val="single" w:color="000000" w:sz="4" w:space="0"/>
              <w:right w:val="nil"/>
            </w:tcBorders>
            <w:shd w:val="clear" w:color="auto" w:fill="auto"/>
            <w:vAlign w:val="center"/>
          </w:tcPr>
          <w:p w14:paraId="0BA943F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b w:val="0"/>
                <w:bCs w:val="0"/>
                <w:i w:val="0"/>
                <w:iCs w:val="0"/>
                <w:color w:val="000000"/>
                <w:kern w:val="0"/>
                <w:sz w:val="24"/>
                <w:szCs w:val="24"/>
                <w:u w:val="none"/>
                <w:lang w:val="en-US" w:eastAsia="zh-CN" w:bidi="ar"/>
              </w:rPr>
              <w:t>灵缴体系建设</w:t>
            </w:r>
          </w:p>
        </w:tc>
      </w:tr>
      <w:tr w14:paraId="3E24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00B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62F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DD0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设备名称/功能模块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EF1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54B9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84A47">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2CC90">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AB5DC">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53CE0">
            <w:pPr>
              <w:jc w:val="center"/>
              <w:rPr>
                <w:rFonts w:hint="eastAsia" w:ascii="宋体" w:hAnsi="宋体" w:eastAsia="宋体" w:cs="宋体"/>
                <w:b/>
                <w:bCs/>
                <w:i w:val="0"/>
                <w:iCs w:val="0"/>
                <w:color w:val="000000"/>
                <w:sz w:val="24"/>
                <w:szCs w:val="24"/>
                <w:u w:val="none"/>
              </w:rPr>
            </w:pPr>
          </w:p>
        </w:tc>
      </w:tr>
      <w:tr w14:paraId="2AD9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F9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2E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DF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贷款申请受理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BF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BE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5B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4B21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65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贷款受理业务量查询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F9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AEDD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CF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03B7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FF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缴存人状态变更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AD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A37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1D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05B1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90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缴存人基数调整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26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F37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51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4292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D3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缴存基数设置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AA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3CB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E7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2210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CA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缴存人变更业务查询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76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BD3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B2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B05A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F3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归集情况汇总查询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10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7B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CA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A847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0D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单位业务流水查询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68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CD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E1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FCCD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20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A4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7E6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9A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4439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F6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黑名单管理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85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C4BA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F1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D46F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76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汇补缴分配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89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097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CB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7EF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1A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缴存人历史明细查询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18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2BE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6C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7F51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B2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委托扣款签（解）约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00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31B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66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3B99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C4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购买自住房提取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D3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7C9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42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56DE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64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偿还异地公积金贷款提取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F9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39E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68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EC93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45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偿还组合贷商贷提取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D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626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59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9F8B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FB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既有住宅加装电梯提取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B4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91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D4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09CD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6D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死亡提取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56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83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FB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F9DE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B3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完全丧失劳动能力提取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81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1BA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D7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7FD8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5E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缴存人提取查询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2C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07C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3E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1CB8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C8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提取汇总查询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AF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280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C2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A9E2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5F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异地转移接续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A6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0A4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27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DA3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0A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贷款提前结清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D0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751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66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B060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D5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贷款提前还款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66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7D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92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89DD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59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2C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214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E4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81A8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2F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贷款业务流水查询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38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D4F6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72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A647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A5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借款人历史逾期查询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EF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A3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80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F759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26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批量业务查询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6F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4B60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CE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4865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5C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业务量统计查询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D1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075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A1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D96A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F1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暂存款退回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11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092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A1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5E6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E3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年度结息/结转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16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29D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55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3C8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6D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年度结息利息测算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AA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13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92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69AB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8A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凭证制单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FD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411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FC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B10B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F6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业务到账匹配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5C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6B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B4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8CE3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38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报表生成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8A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81A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1E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296B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B7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55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8C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7D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60C7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89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住建部报表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B1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8D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C8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9384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E1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借款人逾期查询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78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31C1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B7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F0C5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72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法院强制执行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78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501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33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2C06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95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贷款逾期统计报表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5F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496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2B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1885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90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扣划查询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95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479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40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0061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98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公积金账户查询及打印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64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A027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80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CC6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F7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公积金明细查询及打印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66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963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23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229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77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逾期贷款查询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60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9BF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5A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4612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DB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异地转入业务办理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67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E9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00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ACD1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92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8D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01BD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F4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0EF1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B7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公积金明细查询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A0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A46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1C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2D03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95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公积金个人贷款基本信息查询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69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F388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9E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F39B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82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住房公积金贷款结清证明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3F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A71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01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D884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0C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手机号码变更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CB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DB2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A7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4CA7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7E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异地贷款职工住房公积金缴存使用证明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24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C9DE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40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E1D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EB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提前部分还款测算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54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CB1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25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037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F3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租赁住房提取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E4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C09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82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322A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82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出境定居提取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F2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A9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DB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DFCA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35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个人信息变更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E0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C0A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98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4157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4F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建造、翻建、大修自住住房提取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0E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719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3F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2AFD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21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离休退休提取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2A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282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FC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E92F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76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与单位终止劳动关系提取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80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12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4C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30C3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FF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公积金批扣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9F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C53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5C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405C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52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银行卡批扣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D6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00DB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9A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1A59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55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支付归集手续费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FD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D5C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EA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0DA1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37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中心专户设置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B9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683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03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905F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7F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灵活就业人员开户登记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8C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56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3E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274F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42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灵活就业人员汇缴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8C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914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FC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BF00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AC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灵活就业人员封存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3D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B58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A3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D2C0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FA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灵活就业人员启封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07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AAA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44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7540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51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灵活就业人员信息变更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66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42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C1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043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16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灵活就业人员内部转移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50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05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7D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4B6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C5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灵活就业人员冻结/解冻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C4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7C2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11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46C8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6B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住建部数据上报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01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9DD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EF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519C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64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灵活就业人员预缴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50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7AE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08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CF22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7D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灵活就业人员预缴退回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6D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3C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30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912A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CF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灵活就业人员账户合并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3D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05A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32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939F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4F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灵活就业人员商贷还贷提取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33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07E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F9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74AE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FD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灵活就业人员跨中心对冲还公积金贷款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CF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767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4D1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9DCE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87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灵活就业人员跨中心组合商贷对冲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11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135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56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0D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B1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(汇总表二)业务收支预算执行预算情况表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81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057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F9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C52A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8F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(汇总表三)扩面工作完成情况表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1A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7FD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B9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ACE5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34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(汇总表一)全市住房公积金归集使用预算执行情况表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CB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15E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11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038F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38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(决算表二)全市住房公积金业务收支决算表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D7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896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08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3CB6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D8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(决算表三)全市住房公积金增值收益分配情况表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DA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1E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5D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44AF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F8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(决算表一)全市住房公积金归集使用决算表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4E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19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F4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D7D1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A6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(预算表二)全市住房公积金业务收支预算表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EF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6D4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C7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B04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04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(预算表一)全市住房公积金归集使用预算表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F6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37C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A6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546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A0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(执行表二)全市住房公积金业务收支预算执行情况表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1F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8AA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1C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393D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B9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(执行表一)全市住房公积金归集使用预算执行情况表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AC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D17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80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0B19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2A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全市住房公积金存贷款情况表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18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8EED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EF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D93C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3C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贷款发放和存款余额变动情况表-日报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1F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CF5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FD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EA69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CF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个人住房贷款情况统计表-周报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25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A44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6B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2639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B5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公积金提取情况表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24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6CB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50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B43E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B3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缴存使用情况表（省监管）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6E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9B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77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346A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F7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缴存提取分类情况表（省监管）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8D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FA6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5E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82C3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F6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年度信息披露统计表-年报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09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FA0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5E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EF1A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18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增值收益-月报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D4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CFB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4B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9904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4F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增值收益分配表-季报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AB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FCC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02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54FD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0B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增值收益分配表-年报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08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1FF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A7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16A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7C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住房公积金存贷款报备表-月报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81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2C46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32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A7A1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4D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住房公积金缴存、提取分类情况表-(季报)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AC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71B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60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0283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2A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住房公积金缴存、提取分类情况表-月报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D0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AF6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D5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97A2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D9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住房公积金缴存使用情况表-月报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57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4CE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D9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E459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39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住房公积金收支和运用月报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DB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11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C0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FB34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6E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资产负债表-月报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8F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85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80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4984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BA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省平台年报-分析指标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AA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78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C8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0062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B9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省平台年报-基础指标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3A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BE2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48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533F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57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住房公积金贷款结构分析表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98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5EA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A4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01E3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B1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住房公积金缴存增加情况表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1C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E1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26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19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外联接口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79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住建部结算接口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BA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200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CA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BC67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12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12329数据上报接口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24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F1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9E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F659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01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征信上报接口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B1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89A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53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A076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20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18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E2D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nil"/>
              <w:left w:val="nil"/>
              <w:bottom w:val="single" w:color="000000" w:sz="4" w:space="0"/>
              <w:right w:val="nil"/>
            </w:tcBorders>
            <w:shd w:val="clear" w:color="auto" w:fill="auto"/>
            <w:vAlign w:val="center"/>
          </w:tcPr>
          <w:p w14:paraId="19354CF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移动审批</w:t>
            </w:r>
          </w:p>
        </w:tc>
      </w:tr>
      <w:tr w14:paraId="3AFAE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1E6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FC0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38F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设备名称/功能模块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0A5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15FA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5B5A5">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DF9FC">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AC5EA">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A28E9">
            <w:pPr>
              <w:jc w:val="center"/>
              <w:rPr>
                <w:rFonts w:hint="eastAsia" w:ascii="宋体" w:hAnsi="宋体" w:eastAsia="宋体" w:cs="宋体"/>
                <w:b/>
                <w:bCs/>
                <w:i w:val="0"/>
                <w:iCs w:val="0"/>
                <w:color w:val="000000"/>
                <w:sz w:val="24"/>
                <w:szCs w:val="24"/>
                <w:u w:val="none"/>
              </w:rPr>
            </w:pPr>
          </w:p>
        </w:tc>
      </w:tr>
      <w:tr w14:paraId="3C05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4A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31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贷款审批业务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19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DD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D3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FB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D344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FD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贷款回收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DD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6D7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40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5614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0F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贷款受理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E9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CA7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D8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29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提取审批业务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4A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提取业务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13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40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4B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AFBD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0D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构建房提取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C7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4D6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11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5B8E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4B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行政执法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14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C43F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8C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C4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财务审批业务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8D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96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BD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3B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4A17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50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账户资金变动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B9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4EF8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D7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1A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资金审批业务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6E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CA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D74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24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6E24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19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托收业务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B9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2E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F8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D5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变更审批业务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E4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客户基本信息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4B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1C0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F7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AB48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5A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BD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E1B8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85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9B0A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8E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状态变更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4B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E68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nil"/>
              <w:left w:val="nil"/>
              <w:bottom w:val="single" w:color="000000" w:sz="4" w:space="0"/>
              <w:right w:val="nil"/>
            </w:tcBorders>
            <w:shd w:val="clear" w:color="auto" w:fill="auto"/>
            <w:vAlign w:val="center"/>
          </w:tcPr>
          <w:p w14:paraId="010EF4E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亮码可办</w:t>
            </w:r>
          </w:p>
        </w:tc>
      </w:tr>
      <w:tr w14:paraId="22D4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6BB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95B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63A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设备名称/功能模块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4DE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48D8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8E495">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3DB22">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7FDCB">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E1D09">
            <w:pPr>
              <w:jc w:val="center"/>
              <w:rPr>
                <w:rFonts w:hint="eastAsia" w:ascii="宋体" w:hAnsi="宋体" w:eastAsia="宋体" w:cs="宋体"/>
                <w:b/>
                <w:bCs/>
                <w:i w:val="0"/>
                <w:iCs w:val="0"/>
                <w:color w:val="000000"/>
                <w:sz w:val="24"/>
                <w:szCs w:val="24"/>
                <w:u w:val="none"/>
              </w:rPr>
            </w:pPr>
          </w:p>
        </w:tc>
      </w:tr>
      <w:tr w14:paraId="3485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A6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82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改造整合事项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34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职工缴存证明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CC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C4F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7E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FEB0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11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异地贷款缴存使用证明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33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5EC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18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DD42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F7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贷款结清证明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05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AB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42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92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增加事项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9D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住房公积金业务办理个人信息表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9C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705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F3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2CD9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3A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后台自动查验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32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C74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A4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BE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4F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全国住房公积金小程序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6C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96E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nil"/>
              <w:left w:val="nil"/>
              <w:bottom w:val="single" w:color="000000" w:sz="4" w:space="0"/>
              <w:right w:val="nil"/>
            </w:tcBorders>
            <w:shd w:val="clear" w:color="auto" w:fill="auto"/>
            <w:vAlign w:val="center"/>
          </w:tcPr>
          <w:p w14:paraId="4E011FC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接入甘快办</w:t>
            </w:r>
          </w:p>
        </w:tc>
      </w:tr>
      <w:tr w14:paraId="5D56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7A7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DEB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218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设备名称/功能模块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FF7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2EC2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44925">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B63D0">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401D7">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3B271">
            <w:pPr>
              <w:jc w:val="center"/>
              <w:rPr>
                <w:rFonts w:hint="eastAsia" w:ascii="宋体" w:hAnsi="宋体" w:eastAsia="宋体" w:cs="宋体"/>
                <w:b/>
                <w:bCs/>
                <w:i w:val="0"/>
                <w:iCs w:val="0"/>
                <w:color w:val="000000"/>
                <w:sz w:val="24"/>
                <w:szCs w:val="24"/>
                <w:u w:val="none"/>
              </w:rPr>
            </w:pPr>
          </w:p>
        </w:tc>
      </w:tr>
      <w:tr w14:paraId="51EC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0A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F0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缴存职工开户业务办理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61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业务流水号查询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E9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E85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A9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E62B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40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bpmid查询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9B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A08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08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67C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8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3A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116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82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5508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09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缴存人开户登记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84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562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9C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09E4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ED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提交审批接口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06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3EE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86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F9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异地转移接续办理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52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C3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A83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09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6F3B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F8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转入申请管理录入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9C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02A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DC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11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提取接口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C9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个人基本信息查询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89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A3A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3D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AF7D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A8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缴存人基本信息查询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17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A6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77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8A96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02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清册录入校验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71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119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82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BD1E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2F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支取校验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F4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CA5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A0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F5B1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5A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销户利息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48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A1E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8F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14A1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D3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收款银行账号查询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F0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B06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65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D8B3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3B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缴存人个人存款账户开户银行名称联想查询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BF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868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04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6174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C6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收款人银行账号录入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1F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070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14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4C30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A7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购房类型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26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F5F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B7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F69E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1C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购房地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3B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468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5D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ED66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CA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查询可提取额1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3A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4E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CC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A0F9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2B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获取业务流水号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53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E25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AA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7F26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0B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获取业务流程编号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70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C7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96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457E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B1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获取档案分类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F3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68B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85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6943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45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档案上传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F6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1B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C1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C12D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58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流程发起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A1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B1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51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64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提前还本业务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4F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49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C1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43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6FBC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05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提前还款事前校验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17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0E2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17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023B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B7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业务流水号查询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6D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91F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A8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DD29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28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bpmid查询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D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0720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B2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4DB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00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提前还款提交审批接口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48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FA4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83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CA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销户提取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A3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校验接口1（事前校验，即办理业务前进行校验）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8B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84A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B4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D140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D3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校验接口2(事前校验，即办理业务前校验)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90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FF4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47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5351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58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校验接口3（提交流程业务时校验，即事中校验）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E7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DD7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8D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4404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51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校验接口4（提交流程业务时校验，即事中校验）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4B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05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84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1772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CD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Bpmid查询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71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DF97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2C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B0B3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BE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业务流水号查询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E4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71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1F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D5A4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F7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个人账户余额查询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21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E721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FD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8A90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8C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收款银行账号查询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CC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C19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F8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038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24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收款银行查询（用于在中心没有银行，需要录入银行信息）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37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77E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7B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0E50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1E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银行账号录入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42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DD56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E7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A435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BA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提取类型编码查询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D8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D22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09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F660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71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销户利息查询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E3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10B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70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3F5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4A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业务类型代码查询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E7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CCE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05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6DC7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C3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档案扫描项查询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A7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3B4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AA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8C91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70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档案信息采集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D4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213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1E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579A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E3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档案上传接口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B3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D32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44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009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88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流程发起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D6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3EB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73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4C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单人汇补缴接口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1B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FD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93A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AD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8764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CD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Bpmid接口说明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06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26D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8B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CD6C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F4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业务流水号查询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EE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4734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AA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6614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2C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校验接口（提交流程时校验）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24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99F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23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B11B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CD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流程发起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61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4D38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81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72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07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编码查询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0F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8AF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8F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4F9D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DF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5A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9F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42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9E31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CF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个人存款账户开户银行查询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35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DCF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48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5977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91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Bpmid查询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67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27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87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35CD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4B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业务流水号查询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72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4E8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44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C7EA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0D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缴存比例查询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86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38E5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DD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0A1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64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个人月缴存额和单位月缴存额查询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17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7AD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55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CDA0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D9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缴存人信息录入接口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20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815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89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B569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0C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业务类型代码查询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FE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C1D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E7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778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31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档案扫描项查询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A0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DFD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8C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C79B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F3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档案信息采集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4A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AB6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12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B903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69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档案上传接口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A5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A65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71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274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5B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流程参数接口说明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97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5C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4A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0E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月缴存额调整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1D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99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4E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BE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C00C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EC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Bpmid接口说明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28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2C0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FF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B0B3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32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业务流水号查询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BE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DB3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D2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BA5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57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缴存比例查询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F9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AC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93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0973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9B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缴存上下限查询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05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10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3A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7EC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0A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缴存人基数调整保存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D0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1ED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8E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2564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3C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清册录入接口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D2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882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C3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0549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C7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流程发起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76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94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B9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38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84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通用编码信息查询（证件类型）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4B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3A6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C3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A7AB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96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通用信息编码查询（性别）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6B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835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CE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047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11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通用编码信息查询（婚姻状况）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35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CB6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FD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3F48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CD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通用编码信息查询（学历）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B9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8C8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EA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8A76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4A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通用编码信息查询（就业类型）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D6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1A8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67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B3D1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F9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通用编码查询（缴存比例）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83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8D2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3C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D9AD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B4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25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D5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B1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D455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BD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Bpmid接口说明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19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A54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85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1784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67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业务流水号查询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4E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841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9E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8701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CD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缴存人信息变更保存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22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CE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ED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9067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C0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流程发起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FE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774D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nil"/>
              <w:left w:val="nil"/>
              <w:bottom w:val="single" w:color="000000" w:sz="4" w:space="0"/>
              <w:right w:val="nil"/>
            </w:tcBorders>
            <w:shd w:val="clear" w:color="auto" w:fill="auto"/>
            <w:vAlign w:val="center"/>
          </w:tcPr>
          <w:p w14:paraId="136DB96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接入甘肃省住房公积金区域一体化共享协同平台</w:t>
            </w:r>
          </w:p>
        </w:tc>
      </w:tr>
      <w:tr w14:paraId="6EB2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892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9A9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598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设备名称/功能模块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001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4DBF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472BF">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4171">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CA7E9">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D2979">
            <w:pPr>
              <w:jc w:val="center"/>
              <w:rPr>
                <w:rFonts w:hint="eastAsia" w:ascii="宋体" w:hAnsi="宋体" w:eastAsia="宋体" w:cs="宋体"/>
                <w:b/>
                <w:bCs/>
                <w:i w:val="0"/>
                <w:iCs w:val="0"/>
                <w:color w:val="000000"/>
                <w:sz w:val="24"/>
                <w:szCs w:val="24"/>
                <w:u w:val="none"/>
              </w:rPr>
            </w:pPr>
          </w:p>
        </w:tc>
      </w:tr>
      <w:tr w14:paraId="69FD5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E3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F9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单位信息分发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4E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信息分发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B4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DC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3F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2107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C9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缴存登记进度回执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D6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042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54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8AA6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A3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单位首次缴存回执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E7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C7F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6E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D907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0A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企业是否可以销户查询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37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C0A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7D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0E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信息共享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98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个人公积金信息查询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76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351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2C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4F61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5B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个人业务明细查询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2F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B7B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82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E1B8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0A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连续缴存校验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56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04C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B6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05F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F1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职工缴存证明查询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E2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98FC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A4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5E5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0F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职工缴存证明下载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11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F38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66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B8B6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AA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单位缴存证明查询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FC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8FD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05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384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63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单位缴存证明下载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D0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9DC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66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D6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13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3C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38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08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F09D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B8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贷款还款明细查询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CB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91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C9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B650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FB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贷款结清证明查询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02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224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75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FF8D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E1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贷款结清证明下载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2C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561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37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F151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3B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失信人员推送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1B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B41F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72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C6E6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51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失信单位推送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60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0ED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C6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7167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16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失信开发商推送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66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BEA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88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0D6A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4E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还款计划查询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66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E0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80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D5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风险防范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64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一人多户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04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02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AC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602D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E6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一人多贷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B0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23F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83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0D89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F3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一房多贷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40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910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AF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08AB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80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一房多提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B7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CF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4D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21A6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26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68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03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E2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2766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F4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失信单位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CF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01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0F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BBFA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CB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失信开发商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EC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F37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2C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AD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查询业务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B8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房屋套数查询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FD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EB2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87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A43C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CE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房产信息查询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EB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038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51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F8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D7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借款人/单位业务查询申请授权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5D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2E0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8D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40FB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7C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授权状态查询接口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23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E1E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67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93C2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95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授权信息同步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CE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7C391442">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default" w:ascii="仿宋_GB2312" w:hAnsi="仿宋_GB2312" w:eastAsia="仿宋_GB2312" w:cs="仿宋_GB2312"/>
          <w:b/>
          <w:bCs/>
          <w:color w:val="auto"/>
          <w:sz w:val="28"/>
          <w:szCs w:val="28"/>
          <w:highlight w:val="none"/>
          <w:shd w:val="clear" w:color="auto" w:fill="auto"/>
          <w:lang w:val="en-US" w:eastAsia="zh-CN" w:bidi="ar-SA"/>
        </w:rPr>
      </w:pPr>
    </w:p>
    <w:p w14:paraId="13BA99FC">
      <w:pPr>
        <w:keepNext/>
        <w:keepLines/>
        <w:widowControl w:val="0"/>
        <w:numPr>
          <w:ilvl w:val="0"/>
          <w:numId w:val="0"/>
        </w:numPr>
        <w:bidi w:val="0"/>
        <w:spacing w:beforeLines="0" w:beforeAutospacing="0" w:afterLines="0" w:afterAutospacing="0" w:line="360" w:lineRule="auto"/>
        <w:ind w:leftChars="0" w:firstLineChars="0"/>
        <w:jc w:val="both"/>
        <w:outlineLvl w:val="9"/>
        <w:rPr>
          <w:rFonts w:hint="eastAsia" w:ascii="Times New Roman" w:hAnsi="Times New Roman" w:eastAsia="宋体" w:cs="Times New Roman"/>
          <w:b/>
          <w:kern w:val="44"/>
          <w:sz w:val="28"/>
          <w:szCs w:val="24"/>
          <w:lang w:val="en-US" w:eastAsia="zh-CN" w:bidi="ar-SA"/>
        </w:rPr>
      </w:pPr>
      <w:r>
        <w:rPr>
          <w:rFonts w:hint="eastAsia" w:ascii="仿宋_GB2312" w:hAnsi="仿宋_GB2312" w:eastAsia="仿宋_GB2312" w:cs="仿宋_GB2312"/>
          <w:b/>
          <w:color w:val="auto"/>
          <w:kern w:val="44"/>
          <w:sz w:val="28"/>
          <w:szCs w:val="28"/>
          <w:highlight w:val="none"/>
          <w:shd w:val="clear" w:color="auto" w:fill="auto"/>
          <w:lang w:val="en-US" w:eastAsia="zh-CN" w:bidi="ar-SA"/>
        </w:rPr>
        <w:t>四、</w:t>
      </w:r>
      <w:bookmarkStart w:id="51" w:name="_Toc1326"/>
      <w:r>
        <w:rPr>
          <w:rFonts w:hint="eastAsia" w:ascii="Times New Roman" w:hAnsi="Times New Roman" w:eastAsia="宋体" w:cs="Times New Roman"/>
          <w:b/>
          <w:kern w:val="44"/>
          <w:sz w:val="28"/>
          <w:szCs w:val="24"/>
          <w:lang w:val="en-US" w:eastAsia="zh-CN" w:bidi="ar-SA"/>
        </w:rPr>
        <w:t>实施要求</w:t>
      </w:r>
      <w:bookmarkEnd w:id="51"/>
    </w:p>
    <w:p w14:paraId="777E9A20">
      <w:pPr>
        <w:widowControl w:val="0"/>
        <w:numPr>
          <w:ilvl w:val="1"/>
          <w:numId w:val="0"/>
        </w:numPr>
        <w:bidi w:val="0"/>
        <w:ind w:left="560" w:leftChars="0" w:firstLine="0" w:firstLineChars="0"/>
        <w:jc w:val="both"/>
        <w:outlineLvl w:val="9"/>
        <w:rPr>
          <w:rFonts w:hint="eastAsia" w:ascii="仿宋_GB2312" w:hAnsi="仿宋_GB2312" w:eastAsia="仿宋_GB2312" w:cs="仿宋_GB2312"/>
          <w:b/>
          <w:bCs/>
          <w:kern w:val="2"/>
          <w:sz w:val="28"/>
          <w:szCs w:val="32"/>
          <w:lang w:val="en-US" w:eastAsia="zh-CN" w:bidi="ar-SA"/>
        </w:rPr>
      </w:pPr>
      <w:bookmarkStart w:id="52" w:name="_Toc6533"/>
      <w:r>
        <w:rPr>
          <w:rFonts w:hint="eastAsia" w:ascii="仿宋_GB2312" w:hAnsi="仿宋_GB2312" w:eastAsia="仿宋_GB2312" w:cs="仿宋_GB2312"/>
          <w:b/>
          <w:bCs/>
          <w:kern w:val="2"/>
          <w:sz w:val="28"/>
          <w:szCs w:val="32"/>
          <w:lang w:val="en-US" w:eastAsia="zh-CN" w:bidi="ar-SA"/>
        </w:rPr>
        <w:t>1.项目组织与人员</w:t>
      </w:r>
      <w:bookmarkEnd w:id="52"/>
    </w:p>
    <w:p w14:paraId="5A62DDC6">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投标人必须成立合理的项目机构，制定合理的人力资源配置方案。建立健全保障项目顺利实施的各项管理制度和质量保证体系。</w:t>
      </w:r>
    </w:p>
    <w:p w14:paraId="7BA1EC4F">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根据项目实施工作的业务性质，应配备经验丰富的人员承担本项目工作。</w:t>
      </w:r>
    </w:p>
    <w:p w14:paraId="5F3BE6C5">
      <w:pPr>
        <w:widowControl w:val="0"/>
        <w:numPr>
          <w:ilvl w:val="1"/>
          <w:numId w:val="0"/>
        </w:numPr>
        <w:bidi w:val="0"/>
        <w:ind w:left="560" w:leftChars="0" w:firstLine="0" w:firstLineChars="0"/>
        <w:jc w:val="both"/>
        <w:outlineLvl w:val="9"/>
        <w:rPr>
          <w:rFonts w:hint="eastAsia" w:ascii="仿宋_GB2312" w:hAnsi="仿宋_GB2312" w:eastAsia="仿宋_GB2312" w:cs="仿宋_GB2312"/>
          <w:b/>
          <w:bCs/>
          <w:kern w:val="2"/>
          <w:sz w:val="28"/>
          <w:szCs w:val="32"/>
          <w:lang w:val="en-US" w:eastAsia="zh-CN" w:bidi="ar-SA"/>
        </w:rPr>
      </w:pPr>
      <w:bookmarkStart w:id="53" w:name="_Toc5838"/>
      <w:r>
        <w:rPr>
          <w:rFonts w:hint="eastAsia" w:ascii="仿宋_GB2312" w:hAnsi="仿宋_GB2312" w:eastAsia="仿宋_GB2312" w:cs="仿宋_GB2312"/>
          <w:b/>
          <w:bCs/>
          <w:kern w:val="2"/>
          <w:sz w:val="28"/>
          <w:szCs w:val="32"/>
          <w:lang w:val="en-US" w:eastAsia="zh-CN" w:bidi="ar-SA"/>
        </w:rPr>
        <w:t>2.项目实施保密要求</w:t>
      </w:r>
      <w:bookmarkEnd w:id="53"/>
    </w:p>
    <w:p w14:paraId="571D69B8">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中标人在入场前应和采购方签署相应保密协议，中标人应与参与本服务项目的人员签订保密协议。</w:t>
      </w:r>
    </w:p>
    <w:p w14:paraId="6A222D55">
      <w:pPr>
        <w:widowControl w:val="0"/>
        <w:numPr>
          <w:ilvl w:val="1"/>
          <w:numId w:val="0"/>
        </w:numPr>
        <w:bidi w:val="0"/>
        <w:ind w:left="560" w:leftChars="0" w:firstLine="0" w:firstLineChars="0"/>
        <w:jc w:val="both"/>
        <w:outlineLvl w:val="9"/>
        <w:rPr>
          <w:rFonts w:hint="eastAsia" w:ascii="仿宋_GB2312" w:hAnsi="仿宋_GB2312" w:eastAsia="仿宋_GB2312" w:cs="仿宋_GB2312"/>
          <w:b/>
          <w:bCs/>
          <w:kern w:val="2"/>
          <w:sz w:val="28"/>
          <w:szCs w:val="32"/>
          <w:lang w:val="en-US" w:eastAsia="zh-CN" w:bidi="ar-SA"/>
        </w:rPr>
      </w:pPr>
      <w:bookmarkStart w:id="54" w:name="_Toc23611"/>
      <w:r>
        <w:rPr>
          <w:rFonts w:hint="eastAsia" w:ascii="仿宋_GB2312" w:hAnsi="仿宋_GB2312" w:eastAsia="仿宋_GB2312" w:cs="仿宋_GB2312"/>
          <w:b/>
          <w:bCs/>
          <w:kern w:val="2"/>
          <w:sz w:val="28"/>
          <w:szCs w:val="32"/>
          <w:lang w:val="en-US" w:eastAsia="zh-CN" w:bidi="ar-SA"/>
        </w:rPr>
        <w:t>3.项目工期要求</w:t>
      </w:r>
      <w:bookmarkEnd w:id="54"/>
    </w:p>
    <w:p w14:paraId="4D391B40">
      <w:pPr>
        <w:spacing w:line="360" w:lineRule="auto"/>
        <w:ind w:firstLine="560" w:firstLineChars="200"/>
        <w:outlineLvl w:val="9"/>
        <w:rPr>
          <w:rFonts w:hint="eastAsia" w:ascii="仿宋_GB2312" w:hAnsi="仿宋_GB2312" w:eastAsia="仿宋_GB2312" w:cs="仿宋_GB2312"/>
          <w:color w:val="FF0000"/>
          <w:sz w:val="28"/>
          <w:szCs w:val="24"/>
        </w:rPr>
      </w:pPr>
      <w:r>
        <w:rPr>
          <w:rFonts w:hint="eastAsia" w:ascii="仿宋_GB2312" w:hAnsi="仿宋_GB2312" w:eastAsia="仿宋_GB2312" w:cs="仿宋_GB2312"/>
          <w:sz w:val="28"/>
          <w:szCs w:val="24"/>
        </w:rPr>
        <w:t>项目工期：合同签订后</w:t>
      </w:r>
      <w:r>
        <w:rPr>
          <w:rFonts w:hint="eastAsia" w:ascii="仿宋_GB2312" w:hAnsi="仿宋_GB2312" w:eastAsia="仿宋_GB2312" w:cs="仿宋_GB2312"/>
          <w:sz w:val="28"/>
          <w:szCs w:val="24"/>
          <w:lang w:val="en-US" w:eastAsia="zh-CN"/>
        </w:rPr>
        <w:t>1</w:t>
      </w:r>
      <w:r>
        <w:rPr>
          <w:rFonts w:hint="eastAsia" w:ascii="仿宋_GB2312" w:hAnsi="仿宋_GB2312" w:eastAsia="仿宋_GB2312" w:cs="仿宋_GB2312"/>
          <w:sz w:val="28"/>
          <w:szCs w:val="24"/>
        </w:rPr>
        <w:t>个月内完成产品正式上线运行。</w:t>
      </w:r>
    </w:p>
    <w:p w14:paraId="5BF7D5E5">
      <w:pPr>
        <w:widowControl w:val="0"/>
        <w:numPr>
          <w:ilvl w:val="1"/>
          <w:numId w:val="0"/>
        </w:numPr>
        <w:bidi w:val="0"/>
        <w:ind w:left="560" w:leftChars="0" w:firstLine="0" w:firstLineChars="0"/>
        <w:jc w:val="both"/>
        <w:outlineLvl w:val="9"/>
        <w:rPr>
          <w:rFonts w:hint="eastAsia" w:ascii="仿宋_GB2312" w:hAnsi="仿宋_GB2312" w:eastAsia="仿宋_GB2312" w:cs="仿宋_GB2312"/>
          <w:b/>
          <w:bCs/>
          <w:kern w:val="2"/>
          <w:sz w:val="28"/>
          <w:szCs w:val="32"/>
          <w:lang w:val="en-US" w:eastAsia="zh-CN" w:bidi="ar-SA"/>
        </w:rPr>
      </w:pPr>
      <w:bookmarkStart w:id="55" w:name="_Toc20364"/>
      <w:r>
        <w:rPr>
          <w:rFonts w:hint="eastAsia" w:ascii="仿宋_GB2312" w:hAnsi="仿宋_GB2312" w:eastAsia="仿宋_GB2312" w:cs="仿宋_GB2312"/>
          <w:b/>
          <w:bCs/>
          <w:kern w:val="2"/>
          <w:sz w:val="28"/>
          <w:szCs w:val="32"/>
          <w:lang w:val="en-US" w:eastAsia="zh-CN" w:bidi="ar-SA"/>
        </w:rPr>
        <w:t>4.项目培训要求</w:t>
      </w:r>
      <w:bookmarkEnd w:id="55"/>
    </w:p>
    <w:p w14:paraId="7366B950">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提供详细的培训方案，对中心及所有相关人员进行不少于两轮的培训，保证所有参加培训人员及时、准确的了解系统。对各自岗位对应的功能经过两轮培训后实现熟练操作。</w:t>
      </w:r>
    </w:p>
    <w:p w14:paraId="24EC41A5">
      <w:pPr>
        <w:widowControl w:val="0"/>
        <w:numPr>
          <w:ilvl w:val="1"/>
          <w:numId w:val="0"/>
        </w:numPr>
        <w:bidi w:val="0"/>
        <w:ind w:left="560" w:leftChars="0" w:firstLine="0" w:firstLineChars="0"/>
        <w:jc w:val="both"/>
        <w:outlineLvl w:val="9"/>
        <w:rPr>
          <w:rFonts w:hint="eastAsia" w:ascii="仿宋_GB2312" w:hAnsi="仿宋_GB2312" w:eastAsia="仿宋_GB2312" w:cs="仿宋_GB2312"/>
          <w:b/>
          <w:bCs/>
          <w:kern w:val="2"/>
          <w:sz w:val="28"/>
          <w:szCs w:val="32"/>
          <w:lang w:val="en-US" w:eastAsia="zh-CN" w:bidi="ar-SA"/>
        </w:rPr>
      </w:pPr>
      <w:bookmarkStart w:id="56" w:name="_Toc30849"/>
      <w:r>
        <w:rPr>
          <w:rFonts w:hint="eastAsia" w:ascii="仿宋_GB2312" w:hAnsi="仿宋_GB2312" w:eastAsia="仿宋_GB2312" w:cs="仿宋_GB2312"/>
          <w:b/>
          <w:bCs/>
          <w:kern w:val="2"/>
          <w:sz w:val="28"/>
          <w:szCs w:val="32"/>
          <w:lang w:val="en-US" w:eastAsia="zh-CN" w:bidi="ar-SA"/>
        </w:rPr>
        <w:t>5.项目验收</w:t>
      </w:r>
      <w:bookmarkEnd w:id="56"/>
    </w:p>
    <w:p w14:paraId="75C2A5D1">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验收程序：由采购单位按照项目需求逐条验收。</w:t>
      </w:r>
    </w:p>
    <w:p w14:paraId="3C8B1661">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验收依据包括：招标文件、投标文件、合同文件，以及用户需求说明书。</w:t>
      </w:r>
    </w:p>
    <w:p w14:paraId="7E0AC221">
      <w:pPr>
        <w:widowControl w:val="0"/>
        <w:numPr>
          <w:ilvl w:val="1"/>
          <w:numId w:val="0"/>
        </w:numPr>
        <w:bidi w:val="0"/>
        <w:ind w:left="560" w:leftChars="0" w:firstLine="0" w:firstLineChars="0"/>
        <w:jc w:val="both"/>
        <w:outlineLvl w:val="9"/>
        <w:rPr>
          <w:rFonts w:hint="eastAsia" w:ascii="仿宋_GB2312" w:hAnsi="仿宋_GB2312" w:eastAsia="仿宋_GB2312" w:cs="仿宋_GB2312"/>
          <w:b/>
          <w:bCs/>
          <w:kern w:val="2"/>
          <w:sz w:val="28"/>
          <w:szCs w:val="32"/>
          <w:lang w:val="en-US" w:eastAsia="zh-CN" w:bidi="ar-SA"/>
        </w:rPr>
      </w:pPr>
      <w:bookmarkStart w:id="57" w:name="_Toc19415"/>
      <w:r>
        <w:rPr>
          <w:rFonts w:hint="eastAsia" w:ascii="仿宋_GB2312" w:hAnsi="仿宋_GB2312" w:eastAsia="仿宋_GB2312" w:cs="仿宋_GB2312"/>
          <w:b/>
          <w:bCs/>
          <w:kern w:val="2"/>
          <w:sz w:val="28"/>
          <w:szCs w:val="32"/>
          <w:lang w:val="en-US" w:eastAsia="zh-CN" w:bidi="ar-SA"/>
        </w:rPr>
        <w:t>6.对接要求</w:t>
      </w:r>
      <w:bookmarkEnd w:id="57"/>
    </w:p>
    <w:p w14:paraId="52C38787">
      <w:pPr>
        <w:spacing w:line="360" w:lineRule="auto"/>
        <w:ind w:firstLine="560" w:firstLineChars="200"/>
        <w:outlineLvl w:val="9"/>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为确保数据完整，业务系统稳定运行，</w:t>
      </w:r>
      <w:r>
        <w:rPr>
          <w:rFonts w:hint="eastAsia" w:ascii="仿宋_GB2312" w:hAnsi="仿宋_GB2312" w:eastAsia="仿宋_GB2312" w:cs="仿宋_GB2312"/>
          <w:sz w:val="28"/>
          <w:szCs w:val="24"/>
          <w:lang w:val="en-US" w:eastAsia="zh-CN"/>
        </w:rPr>
        <w:t>本次系统升级改造需在</w:t>
      </w:r>
      <w:r>
        <w:rPr>
          <w:rFonts w:hint="eastAsia" w:ascii="仿宋_GB2312" w:hAnsi="仿宋_GB2312" w:eastAsia="仿宋_GB2312" w:cs="仿宋_GB2312"/>
          <w:sz w:val="28"/>
          <w:szCs w:val="24"/>
        </w:rPr>
        <w:t>陇南市住房公积金管理中心现有核心业务系统</w:t>
      </w:r>
      <w:r>
        <w:rPr>
          <w:rFonts w:hint="eastAsia" w:ascii="仿宋_GB2312" w:hAnsi="仿宋_GB2312" w:eastAsia="仿宋_GB2312" w:cs="仿宋_GB2312"/>
          <w:sz w:val="28"/>
          <w:szCs w:val="24"/>
          <w:lang w:val="en-US" w:eastAsia="zh-CN"/>
        </w:rPr>
        <w:t>进行开发，要求实现与现有核心业务系统的无缝对接，</w:t>
      </w:r>
      <w:r>
        <w:rPr>
          <w:rFonts w:hint="eastAsia" w:ascii="仿宋_GB2312" w:hAnsi="仿宋_GB2312" w:eastAsia="仿宋_GB2312" w:cs="仿宋_GB2312"/>
          <w:sz w:val="28"/>
          <w:szCs w:val="24"/>
        </w:rPr>
        <w:t>实涉及到对现有系统进行改造或与现有系统进行接口开发，以及涉及协调现有系统开发商配合的一切事宜，均由中标人和现有系统供应商协商解决，所产生的全部费用，由中标人自行负责，公积金中心不负责任何协调性工作，此过程中不得影响原有业务的正常进行，否则中标人将承担相关的违约责任，投标人应附相关承诺于投标文件中。</w:t>
      </w:r>
    </w:p>
    <w:p w14:paraId="5DA595E8">
      <w:pPr>
        <w:widowControl w:val="0"/>
        <w:numPr>
          <w:ilvl w:val="1"/>
          <w:numId w:val="0"/>
        </w:numPr>
        <w:bidi w:val="0"/>
        <w:ind w:left="0" w:leftChars="0" w:firstLine="562" w:firstLineChars="200"/>
        <w:jc w:val="both"/>
        <w:outlineLvl w:val="9"/>
        <w:rPr>
          <w:rFonts w:hint="eastAsia" w:ascii="仿宋_GB2312" w:hAnsi="仿宋_GB2312" w:eastAsia="仿宋_GB2312" w:cs="仿宋_GB2312"/>
          <w:b/>
          <w:bCs/>
          <w:kern w:val="2"/>
          <w:sz w:val="28"/>
          <w:szCs w:val="32"/>
          <w:lang w:val="en-US" w:eastAsia="zh-CN" w:bidi="ar-SA"/>
        </w:rPr>
      </w:pPr>
      <w:bookmarkStart w:id="58" w:name="_Toc8806"/>
      <w:r>
        <w:rPr>
          <w:rFonts w:hint="eastAsia" w:ascii="仿宋_GB2312" w:hAnsi="仿宋_GB2312" w:eastAsia="仿宋_GB2312" w:cs="仿宋_GB2312"/>
          <w:b/>
          <w:bCs/>
          <w:kern w:val="2"/>
          <w:sz w:val="28"/>
          <w:szCs w:val="32"/>
          <w:lang w:val="en-US" w:eastAsia="zh-CN" w:bidi="ar-SA"/>
        </w:rPr>
        <w:t>7.动态风险检测能力要求</w:t>
      </w:r>
      <w:bookmarkEnd w:id="58"/>
    </w:p>
    <w:p w14:paraId="6F6264A3">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因本项目采购内容涉及中心重要业务数据，系统对接实施过程中均需要进行充分的风险检测，中标人应掌握动态认证的风险检测方法，主动、提前对项目风险进行防控及处理。</w:t>
      </w:r>
    </w:p>
    <w:p w14:paraId="5733C293">
      <w:pPr>
        <w:keepNext/>
        <w:keepLines/>
        <w:widowControl w:val="0"/>
        <w:numPr>
          <w:ilvl w:val="0"/>
          <w:numId w:val="0"/>
        </w:numPr>
        <w:bidi w:val="0"/>
        <w:spacing w:beforeLines="0" w:beforeAutospacing="0" w:afterLines="0" w:afterAutospacing="0" w:line="360" w:lineRule="auto"/>
        <w:ind w:leftChars="0" w:firstLineChars="0"/>
        <w:jc w:val="both"/>
        <w:outlineLvl w:val="9"/>
        <w:rPr>
          <w:rFonts w:ascii="Times New Roman" w:hAnsi="Times New Roman" w:eastAsia="宋体" w:cs="Times New Roman"/>
          <w:b/>
          <w:kern w:val="44"/>
          <w:sz w:val="28"/>
          <w:szCs w:val="24"/>
          <w:lang w:val="en-US" w:eastAsia="zh-CN" w:bidi="ar-SA"/>
        </w:rPr>
      </w:pPr>
      <w:r>
        <w:rPr>
          <w:rFonts w:hint="eastAsia" w:ascii="Calibri" w:hAnsi="Calibri" w:eastAsia="仿宋" w:cs="Times New Roman"/>
          <w:b/>
          <w:kern w:val="44"/>
          <w:sz w:val="28"/>
          <w:szCs w:val="24"/>
          <w:lang w:val="en-US" w:eastAsia="zh-CN" w:bidi="ar-SA"/>
        </w:rPr>
        <w:t>五、</w:t>
      </w:r>
      <w:bookmarkStart w:id="59" w:name="_Toc15222"/>
      <w:r>
        <w:rPr>
          <w:rFonts w:hint="eastAsia" w:ascii="Times New Roman" w:hAnsi="Times New Roman" w:eastAsia="宋体" w:cs="Times New Roman"/>
          <w:b/>
          <w:kern w:val="44"/>
          <w:sz w:val="28"/>
          <w:szCs w:val="24"/>
          <w:lang w:val="en-US" w:eastAsia="zh-CN" w:bidi="ar-SA"/>
        </w:rPr>
        <w:t>售后服务要求</w:t>
      </w:r>
      <w:bookmarkEnd w:id="59"/>
    </w:p>
    <w:p w14:paraId="6C1033B8">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自验收合格交付使用之日起，中标人需提供1年的质量保证期，在质量保证期内中标人应提供以下服务：</w:t>
      </w:r>
    </w:p>
    <w:p w14:paraId="07B3B3A9">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lang w:val="en-US" w:eastAsia="zh-CN"/>
        </w:rPr>
        <w:t>1.</w:t>
      </w:r>
      <w:r>
        <w:rPr>
          <w:rFonts w:hint="eastAsia" w:ascii="仿宋_GB2312" w:hAnsi="仿宋_GB2312" w:eastAsia="仿宋_GB2312" w:cs="仿宋_GB2312"/>
          <w:sz w:val="28"/>
          <w:szCs w:val="24"/>
        </w:rPr>
        <w:t>对采购人相关人员提供技术咨询服务，并对系统运行过程中发现的技术缺陷予以修改。</w:t>
      </w:r>
    </w:p>
    <w:p w14:paraId="5A1FB665">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lang w:val="en-US" w:eastAsia="zh-CN"/>
        </w:rPr>
        <w:t>2.</w:t>
      </w:r>
      <w:r>
        <w:rPr>
          <w:rFonts w:hint="eastAsia" w:ascii="仿宋_GB2312" w:hAnsi="仿宋_GB2312" w:eastAsia="仿宋_GB2312" w:cs="仿宋_GB2312"/>
          <w:sz w:val="28"/>
          <w:szCs w:val="24"/>
        </w:rPr>
        <w:t>热线技术支持服务响应要求</w:t>
      </w:r>
    </w:p>
    <w:p w14:paraId="168DECC7">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提供电话、网络等热线技术支持服务，响应时间不多于30分钟。</w:t>
      </w:r>
    </w:p>
    <w:p w14:paraId="7FF5E864">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lang w:val="en-US" w:eastAsia="zh-CN"/>
        </w:rPr>
        <w:t>3.</w:t>
      </w:r>
      <w:r>
        <w:rPr>
          <w:rFonts w:hint="eastAsia" w:ascii="仿宋_GB2312" w:hAnsi="仿宋_GB2312" w:eastAsia="仿宋_GB2312" w:cs="仿宋_GB2312"/>
          <w:sz w:val="28"/>
          <w:szCs w:val="24"/>
        </w:rPr>
        <w:t>现场响应要求</w:t>
      </w:r>
    </w:p>
    <w:p w14:paraId="02B02029">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当电话支持和远程维护无法解决的，应即刻安排技术人员赶往现场进行实地勘察维护。</w:t>
      </w:r>
    </w:p>
    <w:p w14:paraId="641A8F20">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lang w:val="en-US" w:eastAsia="zh-CN"/>
        </w:rPr>
        <w:t>4.</w:t>
      </w:r>
      <w:r>
        <w:rPr>
          <w:rFonts w:hint="eastAsia" w:ascii="仿宋_GB2312" w:hAnsi="仿宋_GB2312" w:eastAsia="仿宋_GB2312" w:cs="仿宋_GB2312"/>
          <w:sz w:val="28"/>
          <w:szCs w:val="24"/>
        </w:rPr>
        <w:t>维护响应要求</w:t>
      </w:r>
    </w:p>
    <w:p w14:paraId="3E3C3AEA">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软件改正性维护服务，即诊断和修改过程中发现的软件错误，影响日常服务的，在2小时内响应，48小时内解决，暂不影响日常服务的，在24小时内响应，72小时内解决；软件完善性维护服务，即根据中心要求改进或扩充软件使它更完善，中标人对需求进行评审需在需求提交5日内修改完成（如需求工作量大，中标人需在需求提交当日给出修改时效，与现场达成一致后按计划完成）。</w:t>
      </w:r>
    </w:p>
    <w:p w14:paraId="6A491447">
      <w:pPr>
        <w:keepNext/>
        <w:keepLines/>
        <w:widowControl w:val="0"/>
        <w:numPr>
          <w:ilvl w:val="0"/>
          <w:numId w:val="0"/>
        </w:numPr>
        <w:bidi w:val="0"/>
        <w:spacing w:beforeLines="0" w:beforeAutospacing="0" w:afterLines="0" w:afterAutospacing="0" w:line="360" w:lineRule="auto"/>
        <w:ind w:leftChars="0" w:firstLineChars="0"/>
        <w:jc w:val="both"/>
        <w:outlineLvl w:val="9"/>
        <w:rPr>
          <w:rFonts w:ascii="Times New Roman" w:hAnsi="Times New Roman" w:eastAsia="宋体" w:cs="Times New Roman"/>
          <w:b/>
          <w:kern w:val="44"/>
          <w:sz w:val="28"/>
          <w:szCs w:val="24"/>
          <w:lang w:val="en-US" w:eastAsia="zh-CN" w:bidi="ar-SA"/>
        </w:rPr>
      </w:pPr>
      <w:r>
        <w:rPr>
          <w:rFonts w:hint="eastAsia" w:ascii="Calibri" w:hAnsi="Calibri" w:eastAsia="仿宋" w:cs="Times New Roman"/>
          <w:b/>
          <w:kern w:val="44"/>
          <w:sz w:val="28"/>
          <w:szCs w:val="24"/>
          <w:lang w:val="en-US" w:eastAsia="zh-CN" w:bidi="ar-SA"/>
        </w:rPr>
        <w:t>六、</w:t>
      </w:r>
      <w:bookmarkStart w:id="60" w:name="_Toc11967"/>
      <w:r>
        <w:rPr>
          <w:rFonts w:hint="eastAsia" w:ascii="Times New Roman" w:hAnsi="Times New Roman" w:eastAsia="宋体" w:cs="Times New Roman"/>
          <w:b/>
          <w:kern w:val="44"/>
          <w:sz w:val="28"/>
          <w:szCs w:val="24"/>
          <w:lang w:val="en-US" w:eastAsia="zh-CN" w:bidi="ar-SA"/>
        </w:rPr>
        <w:t>商务要求</w:t>
      </w:r>
      <w:bookmarkEnd w:id="60"/>
    </w:p>
    <w:p w14:paraId="1F87A7E9">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lang w:val="en-US" w:eastAsia="zh-CN"/>
        </w:rPr>
        <w:t>1.</w:t>
      </w:r>
      <w:r>
        <w:rPr>
          <w:rFonts w:hint="eastAsia" w:ascii="仿宋_GB2312" w:hAnsi="仿宋_GB2312" w:eastAsia="仿宋_GB2312" w:cs="仿宋_GB2312"/>
          <w:sz w:val="28"/>
          <w:szCs w:val="24"/>
        </w:rPr>
        <w:t>建设周期</w:t>
      </w:r>
    </w:p>
    <w:p w14:paraId="04BCBA29">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项目工期：合同签订后</w:t>
      </w:r>
      <w:r>
        <w:rPr>
          <w:rFonts w:hint="eastAsia" w:ascii="仿宋_GB2312" w:hAnsi="仿宋_GB2312" w:eastAsia="仿宋_GB2312" w:cs="仿宋_GB2312"/>
          <w:sz w:val="28"/>
          <w:szCs w:val="24"/>
          <w:lang w:val="en-US" w:eastAsia="zh-CN"/>
        </w:rPr>
        <w:t>1</w:t>
      </w:r>
      <w:r>
        <w:rPr>
          <w:rFonts w:hint="eastAsia" w:ascii="仿宋_GB2312" w:hAnsi="仿宋_GB2312" w:eastAsia="仿宋_GB2312" w:cs="仿宋_GB2312"/>
          <w:sz w:val="28"/>
          <w:szCs w:val="24"/>
        </w:rPr>
        <w:t>个月内完成产品上线工作。</w:t>
      </w:r>
    </w:p>
    <w:p w14:paraId="73E3376C">
      <w:pPr>
        <w:spacing w:line="360" w:lineRule="auto"/>
        <w:ind w:firstLine="560" w:firstLineChars="200"/>
        <w:outlineLvl w:val="9"/>
        <w:rPr>
          <w:rFonts w:hint="eastAsia" w:ascii="仿宋_GB2312" w:hAnsi="仿宋_GB2312" w:eastAsia="仿宋_GB2312" w:cs="仿宋_GB2312"/>
          <w:sz w:val="28"/>
          <w:szCs w:val="24"/>
        </w:rPr>
      </w:pPr>
      <w:r>
        <w:rPr>
          <w:rFonts w:hint="eastAsia" w:ascii="仿宋_GB2312" w:hAnsi="仿宋_GB2312" w:eastAsia="仿宋_GB2312" w:cs="仿宋_GB2312"/>
          <w:sz w:val="28"/>
          <w:szCs w:val="24"/>
          <w:lang w:val="en-US" w:eastAsia="zh-CN"/>
        </w:rPr>
        <w:t>2.</w:t>
      </w:r>
      <w:r>
        <w:rPr>
          <w:rFonts w:hint="eastAsia" w:ascii="仿宋_GB2312" w:hAnsi="仿宋_GB2312" w:eastAsia="仿宋_GB2312" w:cs="仿宋_GB2312"/>
          <w:sz w:val="28"/>
          <w:szCs w:val="24"/>
        </w:rPr>
        <w:t>建设地点</w:t>
      </w:r>
    </w:p>
    <w:p w14:paraId="008C3F22">
      <w:pPr>
        <w:spacing w:line="360" w:lineRule="auto"/>
        <w:ind w:firstLine="560" w:firstLineChars="200"/>
        <w:outlineLvl w:val="9"/>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陇南市住房公积金管理中心</w:t>
      </w:r>
      <w:r>
        <w:rPr>
          <w:rFonts w:hint="eastAsia" w:ascii="仿宋_GB2312" w:hAnsi="仿宋_GB2312" w:eastAsia="仿宋_GB2312" w:cs="仿宋_GB2312"/>
          <w:sz w:val="28"/>
          <w:szCs w:val="24"/>
          <w:lang w:eastAsia="zh-CN"/>
        </w:rPr>
        <w:t>。</w:t>
      </w:r>
    </w:p>
    <w:p w14:paraId="30EF6C73">
      <w:pPr>
        <w:numPr>
          <w:ilvl w:val="0"/>
          <w:numId w:val="0"/>
        </w:numPr>
        <w:spacing w:line="360" w:lineRule="auto"/>
        <w:ind w:leftChars="0" w:firstLine="560" w:firstLineChars="200"/>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3.付款方式</w:t>
      </w:r>
    </w:p>
    <w:p w14:paraId="39ACE042">
      <w:pPr>
        <w:spacing w:line="360" w:lineRule="auto"/>
        <w:ind w:firstLine="560" w:firstLineChars="200"/>
        <w:outlineLvl w:val="9"/>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合同签订后10个工作日内支付合同总金额的</w:t>
      </w:r>
      <w:r>
        <w:rPr>
          <w:rFonts w:hint="eastAsia" w:ascii="仿宋_GB2312" w:hAnsi="仿宋_GB2312" w:eastAsia="仿宋_GB2312" w:cs="仿宋_GB2312"/>
          <w:sz w:val="28"/>
          <w:szCs w:val="24"/>
          <w:lang w:val="en-US" w:eastAsia="zh-CN"/>
        </w:rPr>
        <w:t>45</w:t>
      </w:r>
      <w:r>
        <w:rPr>
          <w:rFonts w:hint="eastAsia" w:ascii="仿宋_GB2312" w:hAnsi="仿宋_GB2312" w:eastAsia="仿宋_GB2312" w:cs="仿宋_GB2312"/>
          <w:sz w:val="28"/>
          <w:szCs w:val="24"/>
        </w:rPr>
        <w:t>%，项目验收通过后10个工作日内支付合同总金额的</w:t>
      </w:r>
      <w:r>
        <w:rPr>
          <w:rFonts w:hint="eastAsia" w:ascii="仿宋_GB2312" w:hAnsi="仿宋_GB2312" w:eastAsia="仿宋_GB2312" w:cs="仿宋_GB2312"/>
          <w:sz w:val="28"/>
          <w:szCs w:val="24"/>
          <w:lang w:val="en-US" w:eastAsia="zh-CN"/>
        </w:rPr>
        <w:t>50</w:t>
      </w:r>
      <w:r>
        <w:rPr>
          <w:rFonts w:hint="eastAsia" w:ascii="仿宋_GB2312" w:hAnsi="仿宋_GB2312" w:eastAsia="仿宋_GB2312" w:cs="仿宋_GB2312"/>
          <w:sz w:val="28"/>
          <w:szCs w:val="24"/>
        </w:rPr>
        <w:t>%，项目验收通过满1年后10个工作日内支付合同总金额的5%。</w:t>
      </w:r>
    </w:p>
    <w:p w14:paraId="73C127F8">
      <w:pPr>
        <w:bidi w:val="0"/>
        <w:jc w:val="left"/>
        <w:rPr>
          <w:rFonts w:hint="eastAsia"/>
          <w:lang w:val="en-US" w:eastAsia="zh-CN"/>
        </w:rPr>
      </w:pPr>
    </w:p>
    <w:p w14:paraId="1CEEF16E">
      <w:pPr>
        <w:pageBreakBefore/>
        <w:numPr>
          <w:ilvl w:val="0"/>
          <w:numId w:val="8"/>
        </w:numPr>
        <w:spacing w:line="360" w:lineRule="auto"/>
        <w:jc w:val="center"/>
        <w:outlineLvl w:val="0"/>
        <w:rPr>
          <w:rFonts w:ascii="宋体"/>
          <w:b/>
          <w:bCs/>
          <w:kern w:val="0"/>
          <w:sz w:val="36"/>
          <w:szCs w:val="36"/>
        </w:rPr>
      </w:pPr>
      <w:r>
        <w:rPr>
          <w:rFonts w:hint="eastAsia" w:ascii="宋体" w:hAnsi="宋体" w:cs="宋体"/>
        </w:rPr>
        <w:t>、</w:t>
      </w:r>
      <w:r>
        <w:rPr>
          <w:rFonts w:hint="eastAsia" w:ascii="宋体" w:hAnsi="宋体" w:cs="宋体"/>
          <w:b/>
          <w:bCs/>
          <w:kern w:val="0"/>
          <w:sz w:val="36"/>
          <w:szCs w:val="36"/>
        </w:rPr>
        <w:t>评标方法及标准</w:t>
      </w:r>
      <w:bookmarkEnd w:id="44"/>
      <w:bookmarkEnd w:id="45"/>
      <w:bookmarkEnd w:id="46"/>
      <w:bookmarkEnd w:id="47"/>
      <w:bookmarkEnd w:id="48"/>
    </w:p>
    <w:p w14:paraId="3F7E791A">
      <w:pPr>
        <w:pStyle w:val="5"/>
        <w:adjustRightInd/>
        <w:spacing w:before="0" w:after="0" w:line="360" w:lineRule="auto"/>
        <w:jc w:val="center"/>
        <w:textAlignment w:val="auto"/>
        <w:rPr>
          <w:rFonts w:ascii="宋体"/>
          <w:b w:val="0"/>
          <w:bCs w:val="0"/>
          <w:kern w:val="2"/>
          <w:sz w:val="32"/>
          <w:szCs w:val="32"/>
        </w:rPr>
      </w:pPr>
      <w:bookmarkStart w:id="61" w:name="_Toc7433"/>
      <w:bookmarkStart w:id="62" w:name="_Toc1369"/>
      <w:bookmarkStart w:id="63" w:name="_Toc12870"/>
      <w:r>
        <w:rPr>
          <w:rFonts w:hint="eastAsia" w:ascii="宋体" w:hAnsi="宋体" w:cs="宋体"/>
          <w:b w:val="0"/>
          <w:bCs w:val="0"/>
          <w:kern w:val="2"/>
          <w:sz w:val="32"/>
          <w:szCs w:val="32"/>
        </w:rPr>
        <w:t>一、总则</w:t>
      </w:r>
      <w:bookmarkEnd w:id="61"/>
      <w:bookmarkEnd w:id="62"/>
      <w:bookmarkEnd w:id="63"/>
    </w:p>
    <w:p w14:paraId="258D2409">
      <w:pPr>
        <w:pStyle w:val="22"/>
        <w:numPr>
          <w:ilvl w:val="0"/>
          <w:numId w:val="11"/>
        </w:numPr>
        <w:adjustRightInd w:val="0"/>
        <w:snapToGrid w:val="0"/>
        <w:spacing w:beforeLines="50" w:line="360" w:lineRule="auto"/>
        <w:jc w:val="left"/>
        <w:rPr>
          <w:rFonts w:hAnsi="宋体" w:cs="Times New Roman"/>
          <w:b/>
          <w:bCs/>
          <w:sz w:val="22"/>
          <w:szCs w:val="22"/>
        </w:rPr>
      </w:pPr>
      <w:r>
        <w:rPr>
          <w:rFonts w:hint="eastAsia" w:hAnsi="宋体"/>
          <w:b/>
          <w:bCs/>
          <w:sz w:val="22"/>
          <w:szCs w:val="22"/>
        </w:rPr>
        <w:t>评标</w:t>
      </w:r>
    </w:p>
    <w:p w14:paraId="7A6779D4">
      <w:pPr>
        <w:numPr>
          <w:ilvl w:val="1"/>
          <w:numId w:val="12"/>
        </w:numPr>
        <w:spacing w:line="360" w:lineRule="auto"/>
        <w:rPr>
          <w:rFonts w:ascii="宋体"/>
          <w:b/>
          <w:bCs/>
          <w:sz w:val="22"/>
          <w:szCs w:val="22"/>
        </w:rPr>
      </w:pPr>
      <w:r>
        <w:rPr>
          <w:rFonts w:hint="eastAsia" w:ascii="宋体" w:hAnsi="宋体" w:cs="宋体"/>
          <w:sz w:val="22"/>
          <w:szCs w:val="22"/>
        </w:rPr>
        <w:t>评标由依法组成的评标委员会负责。</w:t>
      </w:r>
    </w:p>
    <w:p w14:paraId="58A57812">
      <w:pPr>
        <w:pStyle w:val="22"/>
        <w:numPr>
          <w:ilvl w:val="0"/>
          <w:numId w:val="11"/>
        </w:numPr>
        <w:adjustRightInd w:val="0"/>
        <w:snapToGrid w:val="0"/>
        <w:spacing w:beforeLines="50" w:line="360" w:lineRule="auto"/>
        <w:jc w:val="left"/>
        <w:rPr>
          <w:rFonts w:hAnsi="宋体" w:cs="Times New Roman"/>
          <w:sz w:val="22"/>
          <w:szCs w:val="22"/>
        </w:rPr>
      </w:pPr>
      <w:r>
        <w:rPr>
          <w:rFonts w:hint="eastAsia" w:hAnsi="宋体"/>
          <w:b/>
          <w:bCs/>
          <w:sz w:val="22"/>
          <w:szCs w:val="22"/>
        </w:rPr>
        <w:t>评标方法：综合评分法</w:t>
      </w:r>
      <w:r>
        <w:rPr>
          <w:rFonts w:hint="eastAsia" w:hAnsi="宋体"/>
          <w:sz w:val="22"/>
          <w:szCs w:val="22"/>
        </w:rPr>
        <w:t>，是指投标文件满足招标文件全部实质性要求，且按照评审因素的量化指标评审得分最高的投标人为中标候选人的评标方法。本项目对投标人的价格、技术、商务因素评审（商务部分、技术部分）按百分制进行评标（按四舍五入取百分位两位小数），评审得分最高的投标人为中标候选人。</w:t>
      </w:r>
    </w:p>
    <w:p w14:paraId="1FCFD3F3">
      <w:pPr>
        <w:pStyle w:val="22"/>
        <w:numPr>
          <w:ilvl w:val="0"/>
          <w:numId w:val="11"/>
        </w:numPr>
        <w:adjustRightInd w:val="0"/>
        <w:snapToGrid w:val="0"/>
        <w:spacing w:beforeLines="50" w:line="360" w:lineRule="auto"/>
        <w:jc w:val="left"/>
        <w:rPr>
          <w:rFonts w:hAnsi="宋体" w:cs="Times New Roman"/>
          <w:sz w:val="22"/>
          <w:szCs w:val="22"/>
        </w:rPr>
      </w:pPr>
      <w:r>
        <w:rPr>
          <w:rFonts w:hint="eastAsia" w:hAnsi="宋体" w:cs="Times New Roman"/>
          <w:sz w:val="22"/>
          <w:szCs w:val="22"/>
        </w:rPr>
        <w:t>根据财政部、工业和信息化部发布的《政府采购促进中小企业发展管理办法》（财库〔2020〕46号）和财政部《关于进一步加大政府采购支持中小企业力度的通知》（财库〔2022〕19号）规定，对小型和微型企业产品的投标价格给予</w:t>
      </w:r>
      <w:r>
        <w:rPr>
          <w:rFonts w:hint="eastAsia" w:hAnsi="宋体" w:cs="Times New Roman"/>
          <w:sz w:val="22"/>
          <w:szCs w:val="22"/>
          <w:highlight w:val="yellow"/>
        </w:rPr>
        <w:t>10%</w:t>
      </w:r>
      <w:r>
        <w:rPr>
          <w:rFonts w:hint="eastAsia" w:hAnsi="宋体" w:cs="Times New Roman"/>
          <w:sz w:val="22"/>
          <w:szCs w:val="22"/>
        </w:rPr>
        <w:t xml:space="preserve"> 的扣除，用扣除后的价格参与评审。</w:t>
      </w:r>
    </w:p>
    <w:p w14:paraId="3CAAD15A">
      <w:pPr>
        <w:pStyle w:val="22"/>
        <w:adjustRightInd w:val="0"/>
        <w:snapToGrid w:val="0"/>
        <w:spacing w:beforeLines="50" w:line="360" w:lineRule="auto"/>
        <w:jc w:val="left"/>
        <w:rPr>
          <w:rFonts w:hAnsi="宋体" w:cs="Times New Roman"/>
          <w:b/>
          <w:bCs/>
          <w:sz w:val="22"/>
          <w:szCs w:val="22"/>
        </w:rPr>
      </w:pPr>
      <w:r>
        <w:rPr>
          <w:rFonts w:hint="eastAsia" w:hAnsi="宋体"/>
          <w:b/>
          <w:bCs/>
          <w:sz w:val="22"/>
          <w:szCs w:val="22"/>
        </w:rPr>
        <w:t>评标标准：综合评分明细表：满分</w:t>
      </w:r>
      <w:r>
        <w:rPr>
          <w:rFonts w:hAnsi="宋体"/>
          <w:b/>
          <w:bCs/>
          <w:sz w:val="22"/>
          <w:szCs w:val="22"/>
        </w:rPr>
        <w:t>100</w:t>
      </w:r>
      <w:r>
        <w:rPr>
          <w:rFonts w:hint="eastAsia" w:hAnsi="宋体"/>
          <w:b/>
          <w:bCs/>
          <w:sz w:val="22"/>
          <w:szCs w:val="22"/>
        </w:rPr>
        <w:t>分。</w:t>
      </w:r>
    </w:p>
    <w:p w14:paraId="10A67AE4">
      <w:pPr>
        <w:jc w:val="center"/>
        <w:rPr>
          <w:rFonts w:hint="eastAsia" w:ascii="宋体" w:hAnsi="宋体" w:cs="宋体"/>
          <w:b/>
          <w:bCs/>
          <w:sz w:val="28"/>
          <w:szCs w:val="28"/>
        </w:rPr>
      </w:pPr>
      <w:r>
        <w:rPr>
          <w:rFonts w:hint="eastAsia" w:ascii="宋体" w:hAnsi="宋体" w:cs="宋体"/>
          <w:b/>
          <w:bCs/>
          <w:sz w:val="30"/>
          <w:szCs w:val="30"/>
        </w:rPr>
        <w:t>评分细则</w:t>
      </w:r>
      <w:r>
        <w:rPr>
          <w:rFonts w:hint="eastAsia" w:ascii="宋体" w:hAnsi="宋体" w:cs="宋体"/>
          <w:b/>
          <w:bCs/>
          <w:sz w:val="28"/>
          <w:szCs w:val="28"/>
        </w:rPr>
        <w:t>具体为：</w:t>
      </w:r>
    </w:p>
    <w:tbl>
      <w:tblPr>
        <w:tblStyle w:val="171"/>
        <w:tblW w:w="83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66"/>
        <w:gridCol w:w="933"/>
        <w:gridCol w:w="6910"/>
      </w:tblGrid>
      <w:tr w14:paraId="496CB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66" w:type="dxa"/>
            <w:vAlign w:val="center"/>
          </w:tcPr>
          <w:p w14:paraId="7135EA7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pacing w:val="1"/>
                <w:w w:val="95"/>
                <w:kern w:val="0"/>
                <w:sz w:val="24"/>
                <w:szCs w:val="24"/>
                <w:fitText w:val="456" w:id="869428476"/>
                <w:lang w:val="en-US" w:eastAsia="zh-CN"/>
              </w:rPr>
              <w:t>序</w:t>
            </w:r>
            <w:r>
              <w:rPr>
                <w:rFonts w:hint="eastAsia" w:ascii="仿宋" w:hAnsi="仿宋" w:eastAsia="仿宋" w:cs="仿宋"/>
                <w:color w:val="auto"/>
                <w:spacing w:val="0"/>
                <w:w w:val="95"/>
                <w:kern w:val="0"/>
                <w:sz w:val="24"/>
                <w:szCs w:val="24"/>
                <w:fitText w:val="456" w:id="869428476"/>
                <w:lang w:val="en-US" w:eastAsia="zh-CN"/>
              </w:rPr>
              <w:t>号</w:t>
            </w:r>
          </w:p>
        </w:tc>
        <w:tc>
          <w:tcPr>
            <w:tcW w:w="933" w:type="dxa"/>
            <w:vAlign w:val="center"/>
          </w:tcPr>
          <w:p w14:paraId="58797765">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0" w:type="auto"/>
            <w:vAlign w:val="center"/>
          </w:tcPr>
          <w:p w14:paraId="0DFFCBFD">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评分细则</w:t>
            </w:r>
          </w:p>
        </w:tc>
      </w:tr>
      <w:tr w14:paraId="75BA1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0" w:type="auto"/>
            <w:gridSpan w:val="3"/>
            <w:vAlign w:val="center"/>
          </w:tcPr>
          <w:p w14:paraId="6E1922FE">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报价部分（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分）</w:t>
            </w:r>
          </w:p>
        </w:tc>
      </w:tr>
      <w:tr w14:paraId="26DA3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8" w:hRule="atLeast"/>
        </w:trPr>
        <w:tc>
          <w:tcPr>
            <w:tcW w:w="466" w:type="dxa"/>
            <w:vAlign w:val="center"/>
          </w:tcPr>
          <w:p w14:paraId="2CBA684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933" w:type="dxa"/>
            <w:vAlign w:val="center"/>
          </w:tcPr>
          <w:p w14:paraId="38EE7F75">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报价得分</w:t>
            </w:r>
          </w:p>
          <w:p w14:paraId="782548A5">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10分</w:t>
            </w:r>
            <w:r>
              <w:rPr>
                <w:rFonts w:hint="eastAsia" w:ascii="仿宋" w:hAnsi="仿宋" w:eastAsia="仿宋" w:cs="仿宋"/>
                <w:color w:val="auto"/>
                <w:sz w:val="24"/>
                <w:szCs w:val="24"/>
                <w:lang w:eastAsia="zh-CN"/>
              </w:rPr>
              <w:t>）</w:t>
            </w:r>
          </w:p>
        </w:tc>
        <w:tc>
          <w:tcPr>
            <w:tcW w:w="0" w:type="auto"/>
            <w:vAlign w:val="center"/>
          </w:tcPr>
          <w:p w14:paraId="36BA2586">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投标人价格分采用低价优先法计算，即满足招标文 件要求且投标价格最低的投标报价为评标基准价，其价 格分为满分。其他投标单位的价格分统一按照下列公式</w:t>
            </w:r>
          </w:p>
          <w:p w14:paraId="4B135FAD">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计算：</w:t>
            </w:r>
          </w:p>
          <w:p w14:paraId="7990638B">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投标报价得分＝（评标基准价／投标报价）×</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%×100(四舍五入小数点后保留两位数字）</w:t>
            </w:r>
          </w:p>
          <w:p w14:paraId="04B55F48">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评标委员会认为投标人的报价明显低于其他通过符合性审查投标人的报价，有可能影响产品质量或者不能诚信履约的，评标委员会有权要求其在评标现场合理的时间内提供书面说明，必要时提交相关证明材料；投标人如不能证明其报价合理性的，评标委员会应当将其作为无效投标处理。</w:t>
            </w:r>
          </w:p>
        </w:tc>
      </w:tr>
      <w:tr w14:paraId="7A6EE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0" w:type="auto"/>
            <w:gridSpan w:val="3"/>
            <w:vAlign w:val="center"/>
          </w:tcPr>
          <w:p w14:paraId="5821A51A">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技术部分（</w:t>
            </w:r>
            <w:r>
              <w:rPr>
                <w:rFonts w:hint="eastAsia" w:ascii="仿宋" w:hAnsi="仿宋" w:eastAsia="仿宋" w:cs="仿宋"/>
                <w:color w:val="auto"/>
                <w:sz w:val="24"/>
                <w:szCs w:val="24"/>
                <w:lang w:val="en-US" w:eastAsia="zh-CN"/>
              </w:rPr>
              <w:t>63</w:t>
            </w:r>
            <w:r>
              <w:rPr>
                <w:rFonts w:hint="eastAsia" w:ascii="仿宋" w:hAnsi="仿宋" w:eastAsia="仿宋" w:cs="仿宋"/>
                <w:color w:val="auto"/>
                <w:sz w:val="24"/>
                <w:szCs w:val="24"/>
              </w:rPr>
              <w:t>分）</w:t>
            </w:r>
          </w:p>
        </w:tc>
      </w:tr>
      <w:tr w14:paraId="4325B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5" w:hRule="atLeast"/>
        </w:trPr>
        <w:tc>
          <w:tcPr>
            <w:tcW w:w="466" w:type="dxa"/>
            <w:vAlign w:val="center"/>
          </w:tcPr>
          <w:p w14:paraId="3F1C742B">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933" w:type="dxa"/>
            <w:vAlign w:val="center"/>
          </w:tcPr>
          <w:p w14:paraId="354B9AC0">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项目分析</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9分</w:t>
            </w:r>
            <w:r>
              <w:rPr>
                <w:rFonts w:hint="eastAsia" w:ascii="仿宋" w:hAnsi="仿宋" w:eastAsia="仿宋" w:cs="仿宋"/>
                <w:color w:val="auto"/>
                <w:sz w:val="24"/>
                <w:szCs w:val="24"/>
                <w:highlight w:val="none"/>
                <w:lang w:eastAsia="zh-CN"/>
              </w:rPr>
              <w:t>）</w:t>
            </w:r>
          </w:p>
        </w:tc>
        <w:tc>
          <w:tcPr>
            <w:tcW w:w="0" w:type="auto"/>
            <w:vAlign w:val="center"/>
          </w:tcPr>
          <w:p w14:paraId="247575D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对投标人提供的</w:t>
            </w:r>
            <w:r>
              <w:rPr>
                <w:rFonts w:hint="eastAsia" w:ascii="仿宋" w:hAnsi="仿宋" w:eastAsia="仿宋" w:cs="仿宋"/>
                <w:color w:val="auto"/>
                <w:sz w:val="24"/>
                <w:szCs w:val="24"/>
                <w:highlight w:val="none"/>
                <w:lang w:val="en-US" w:eastAsia="zh-CN"/>
              </w:rPr>
              <w:t>项目分析</w:t>
            </w:r>
            <w:r>
              <w:rPr>
                <w:rFonts w:hint="eastAsia" w:ascii="仿宋" w:hAnsi="仿宋" w:eastAsia="仿宋" w:cs="仿宋"/>
                <w:color w:val="auto"/>
                <w:sz w:val="24"/>
                <w:szCs w:val="24"/>
                <w:highlight w:val="none"/>
              </w:rPr>
              <w:t>方案进行评分，包括但不限于项目背景</w:t>
            </w:r>
            <w:r>
              <w:rPr>
                <w:rFonts w:hint="eastAsia" w:ascii="仿宋" w:hAnsi="仿宋" w:eastAsia="仿宋" w:cs="仿宋"/>
                <w:color w:val="auto"/>
                <w:sz w:val="24"/>
                <w:szCs w:val="24"/>
                <w:highlight w:val="none"/>
                <w:lang w:val="en-US" w:eastAsia="zh-CN"/>
              </w:rPr>
              <w:t>分析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建设目标分析、需求分析等进行</w:t>
            </w:r>
            <w:r>
              <w:rPr>
                <w:rFonts w:hint="eastAsia" w:ascii="仿宋" w:hAnsi="仿宋" w:eastAsia="仿宋" w:cs="仿宋"/>
                <w:color w:val="auto"/>
                <w:sz w:val="24"/>
                <w:szCs w:val="24"/>
                <w:highlight w:val="none"/>
              </w:rPr>
              <w:t>综合评审：提供的方案切合项目需求实际，方案系统全面、合理可行、整体逻辑清晰，可操作性强的，</w:t>
            </w:r>
            <w:r>
              <w:rPr>
                <w:rFonts w:hint="eastAsia" w:ascii="仿宋" w:hAnsi="仿宋" w:eastAsia="仿宋" w:cs="仿宋"/>
                <w:color w:val="auto"/>
                <w:sz w:val="24"/>
                <w:szCs w:val="24"/>
                <w:lang w:val="en-US" w:eastAsia="zh-CN"/>
              </w:rPr>
              <w:t>能够准确把握项目特点、重点、难点及建设的主要目标的得9分，</w:t>
            </w:r>
            <w:r>
              <w:rPr>
                <w:rFonts w:hint="eastAsia" w:ascii="仿宋" w:hAnsi="仿宋" w:eastAsia="仿宋" w:cs="仿宋"/>
                <w:color w:val="auto"/>
                <w:sz w:val="24"/>
                <w:szCs w:val="24"/>
                <w:highlight w:val="none"/>
              </w:rPr>
              <w:t>提供的方案基本满足项目需求实际，方案较全面、合理可行，整体逻辑较清晰，可操作性好的，得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提供的方案不全面，整体逻辑不清晰，可操作一般的，得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提供的方案与项目严重不符或不提供方案的，得0分</w:t>
            </w:r>
            <w:r>
              <w:rPr>
                <w:rFonts w:hint="eastAsia" w:ascii="仿宋" w:hAnsi="仿宋" w:eastAsia="仿宋" w:cs="仿宋"/>
                <w:color w:val="auto"/>
                <w:sz w:val="24"/>
                <w:szCs w:val="24"/>
                <w:highlight w:val="none"/>
                <w:lang w:eastAsia="zh-CN"/>
              </w:rPr>
              <w:t>。</w:t>
            </w:r>
          </w:p>
        </w:tc>
      </w:tr>
      <w:tr w14:paraId="45553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8" w:hRule="atLeast"/>
        </w:trPr>
        <w:tc>
          <w:tcPr>
            <w:tcW w:w="466" w:type="dxa"/>
            <w:vAlign w:val="center"/>
          </w:tcPr>
          <w:p w14:paraId="27EEF99F">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3</w:t>
            </w:r>
          </w:p>
        </w:tc>
        <w:tc>
          <w:tcPr>
            <w:tcW w:w="933" w:type="dxa"/>
            <w:vAlign w:val="center"/>
          </w:tcPr>
          <w:p w14:paraId="6644000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现有业务系统的分析（9分）</w:t>
            </w:r>
          </w:p>
        </w:tc>
        <w:tc>
          <w:tcPr>
            <w:tcW w:w="0" w:type="auto"/>
            <w:vAlign w:val="center"/>
          </w:tcPr>
          <w:p w14:paraId="43F45CE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投标人提供的现有业务系统的分析方案进行评分，包括但不限于对用户方现有业务系统管理流程、逻辑、数据库结构分析等进行综合评审：对用户方现有业务系统管理流程、逻辑、数据库结构等现状了解程度高得9分；对用户方现有业务系统管理流程、逻辑、数据库结构等现状了解程度较高得6分；对用户方现有业务系统管理流程、逻辑、数据库结构等现状了解程度一般得3分；对用户方现有业务系统管理流程、逻辑、数据库结构等现状不了解不得分。</w:t>
            </w:r>
          </w:p>
        </w:tc>
      </w:tr>
      <w:tr w14:paraId="5502A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8" w:hRule="atLeast"/>
        </w:trPr>
        <w:tc>
          <w:tcPr>
            <w:tcW w:w="466" w:type="dxa"/>
            <w:shd w:val="clear" w:color="auto" w:fill="auto"/>
            <w:vAlign w:val="center"/>
          </w:tcPr>
          <w:p w14:paraId="4C4DE393">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933" w:type="dxa"/>
            <w:shd w:val="clear" w:color="auto" w:fill="auto"/>
            <w:vAlign w:val="center"/>
          </w:tcPr>
          <w:p w14:paraId="1A621BC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建设方案（10分）</w:t>
            </w:r>
          </w:p>
        </w:tc>
        <w:tc>
          <w:tcPr>
            <w:tcW w:w="0" w:type="auto"/>
            <w:shd w:val="clear" w:color="auto" w:fill="auto"/>
            <w:vAlign w:val="center"/>
          </w:tcPr>
          <w:p w14:paraId="1C27984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对投标人提供的建设方案进行评分，包括但不限于灵缴体系建设、移动审批建设、亮码可办建设、接入甘快办建设、接入甘肃省住房公积金区域一体化共享协同平台建设进行综合评审，方案内容完整、详细、表述清晰、科学合理、切实可行，得10分；方案内容比较完整、详细、表述清晰、比较合理、可行，得8分；方案内容基本完整、详细、表述基本清晰、合理、可行性稍差得6分；没有提供方案或方案被评定为不可行的不得分。</w:t>
            </w:r>
          </w:p>
        </w:tc>
      </w:tr>
      <w:tr w14:paraId="1CBA3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7" w:hRule="atLeast"/>
        </w:trPr>
        <w:tc>
          <w:tcPr>
            <w:tcW w:w="466" w:type="dxa"/>
            <w:shd w:val="clear" w:color="auto" w:fill="auto"/>
            <w:vAlign w:val="center"/>
          </w:tcPr>
          <w:p w14:paraId="6F61AC30">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8分</w:t>
            </w:r>
          </w:p>
        </w:tc>
        <w:tc>
          <w:tcPr>
            <w:tcW w:w="933" w:type="dxa"/>
            <w:shd w:val="clear" w:color="auto" w:fill="auto"/>
            <w:vAlign w:val="center"/>
          </w:tcPr>
          <w:p w14:paraId="284AE5E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无缝对接方案（8分）</w:t>
            </w:r>
          </w:p>
        </w:tc>
        <w:tc>
          <w:tcPr>
            <w:tcW w:w="0" w:type="auto"/>
            <w:shd w:val="clear" w:color="auto" w:fill="auto"/>
            <w:vAlign w:val="center"/>
          </w:tcPr>
          <w:p w14:paraId="7884FF81">
            <w:pPr>
              <w:keepNext w:val="0"/>
              <w:keepLines w:val="0"/>
              <w:pageBreakBefore w:val="0"/>
              <w:widowControl/>
              <w:numPr>
                <w:ilvl w:val="0"/>
                <w:numId w:val="13"/>
              </w:numPr>
              <w:kinsoku/>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保证系统的稳定性、兼容性、一致性，本项目必须在采购人核心业务系统的架构及平台上进行，保证与核心业务系统的深度融合、无缝对接，保障柜面业务和线上业务7*24小时不间断。投标人根据本项目的需求，提供无缝对接方案，包含无缝对接技术方案及无缝对接佐证材料；方案内容完整、详细、表述清晰、科学合理、切实可行，得6分；方案内容比较完整、详细、表述清晰、比较合理、可行，得3分；方案内容基本完整、详细、表述基本清晰、合理、可行性稍差得1分；没有提供方案或方案被评定为不可行的不得分。</w:t>
            </w:r>
          </w:p>
          <w:p w14:paraId="1942E06B">
            <w:pPr>
              <w:keepNext w:val="0"/>
              <w:keepLines w:val="0"/>
              <w:pageBreakBefore w:val="0"/>
              <w:widowControl/>
              <w:numPr>
                <w:ilvl w:val="0"/>
                <w:numId w:val="13"/>
              </w:numPr>
              <w:kinsoku/>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有充分的能够证明其可以提供无缝对接的证明材料的得2分，没有提供合理证明材料的不得分。</w:t>
            </w:r>
          </w:p>
        </w:tc>
      </w:tr>
      <w:tr w14:paraId="56D68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6" w:hRule="atLeast"/>
        </w:trPr>
        <w:tc>
          <w:tcPr>
            <w:tcW w:w="466" w:type="dxa"/>
            <w:vAlign w:val="center"/>
          </w:tcPr>
          <w:p w14:paraId="58E496CC">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933" w:type="dxa"/>
            <w:vAlign w:val="center"/>
          </w:tcPr>
          <w:p w14:paraId="1BF5796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服务能力（10分）</w:t>
            </w:r>
          </w:p>
        </w:tc>
        <w:tc>
          <w:tcPr>
            <w:tcW w:w="0" w:type="auto"/>
            <w:vAlign w:val="center"/>
          </w:tcPr>
          <w:p w14:paraId="07486DC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系统升级改造需要提供定制化开发服务，供应商应具有以下自主研发服务能力：1.数字住房公积金管理系统；2.公积金对公众服务平台；3.公积金综合服务平台统一管理开发服务能力；4.住房公积金归集和支取管理系统；5.住房公积金远程视频协助服务能力；6.公积金服务集成管理平台；7.公积金个人贷款管理系统；8.公积金作业调度批处理管理平台、9、住房公积金网上电子审批系统、10.住房公积金业务服务平台。</w:t>
            </w:r>
          </w:p>
          <w:p w14:paraId="4D25717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评审依据：根据投标人自有的相关软件著作权登记证书，每提供一项软件著作权登记证书得1分，最高 10分。</w:t>
            </w:r>
          </w:p>
        </w:tc>
      </w:tr>
      <w:tr w14:paraId="42FA9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8" w:hRule="atLeast"/>
        </w:trPr>
        <w:tc>
          <w:tcPr>
            <w:tcW w:w="466" w:type="dxa"/>
            <w:vAlign w:val="center"/>
          </w:tcPr>
          <w:p w14:paraId="636F928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p>
        </w:tc>
        <w:tc>
          <w:tcPr>
            <w:tcW w:w="933" w:type="dxa"/>
            <w:vAlign w:val="center"/>
          </w:tcPr>
          <w:p w14:paraId="4F6916AD">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实施方案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9分</w:t>
            </w:r>
            <w:r>
              <w:rPr>
                <w:rFonts w:hint="eastAsia" w:ascii="仿宋" w:hAnsi="仿宋" w:eastAsia="仿宋" w:cs="仿宋"/>
                <w:color w:val="auto"/>
                <w:sz w:val="24"/>
                <w:szCs w:val="24"/>
                <w:lang w:eastAsia="zh-CN"/>
              </w:rPr>
              <w:t>）</w:t>
            </w:r>
          </w:p>
        </w:tc>
        <w:tc>
          <w:tcPr>
            <w:tcW w:w="0" w:type="auto"/>
            <w:vAlign w:val="center"/>
          </w:tcPr>
          <w:p w14:paraId="0FD91BA2">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根据投标人针对本项目提供的实施方案进行评审，内容详细完整、科学合理、重点突出、项目实施流程和应急预案完整，实施计划清晰，可行性科学合理的得9分；方案内容较详细完整、较科学合理、重点较突出、流程较完整，实施计划较清晰， 可操作性基本满足要求，但有欠缺的得6分；方案内容有缺失、不合理、流程不完整，实施计划不清晰，可操作性无重点、无可行性的得3分；实施方案且内容混乱，实施计划不清晰，整体混乱或未提供的不得分。</w:t>
            </w:r>
          </w:p>
        </w:tc>
      </w:tr>
      <w:tr w14:paraId="4667B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3" w:hRule="atLeast"/>
        </w:trPr>
        <w:tc>
          <w:tcPr>
            <w:tcW w:w="466" w:type="dxa"/>
            <w:shd w:val="clear" w:color="auto" w:fill="auto"/>
            <w:vAlign w:val="center"/>
          </w:tcPr>
          <w:p w14:paraId="455DE821">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w:t>
            </w:r>
          </w:p>
        </w:tc>
        <w:tc>
          <w:tcPr>
            <w:tcW w:w="933" w:type="dxa"/>
            <w:shd w:val="clear" w:color="auto" w:fill="auto"/>
            <w:vAlign w:val="center"/>
          </w:tcPr>
          <w:p w14:paraId="18307BF2">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售后</w:t>
            </w:r>
            <w:r>
              <w:rPr>
                <w:rFonts w:hint="eastAsia" w:ascii="仿宋" w:hAnsi="仿宋" w:eastAsia="仿宋" w:cs="仿宋"/>
                <w:color w:val="auto"/>
                <w:sz w:val="24"/>
                <w:szCs w:val="24"/>
                <w:lang w:val="en-US" w:eastAsia="zh-CN"/>
              </w:rPr>
              <w:t>及培训服务方案（8分）</w:t>
            </w:r>
          </w:p>
        </w:tc>
        <w:tc>
          <w:tcPr>
            <w:tcW w:w="0" w:type="auto"/>
            <w:shd w:val="clear" w:color="auto" w:fill="auto"/>
            <w:vAlign w:val="center"/>
          </w:tcPr>
          <w:p w14:paraId="306FF89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根据投标人针对本项目提供的售后</w:t>
            </w:r>
            <w:r>
              <w:rPr>
                <w:rFonts w:hint="eastAsia" w:ascii="仿宋" w:hAnsi="仿宋" w:eastAsia="仿宋" w:cs="仿宋"/>
                <w:color w:val="auto"/>
                <w:sz w:val="24"/>
                <w:szCs w:val="24"/>
                <w:lang w:val="en-US" w:eastAsia="zh-CN"/>
              </w:rPr>
              <w:t>及培训</w:t>
            </w:r>
            <w:r>
              <w:rPr>
                <w:rFonts w:hint="eastAsia" w:ascii="仿宋" w:hAnsi="仿宋" w:eastAsia="仿宋" w:cs="仿宋"/>
                <w:color w:val="auto"/>
                <w:sz w:val="24"/>
                <w:szCs w:val="24"/>
              </w:rPr>
              <w:t>服务方案</w:t>
            </w:r>
            <w:r>
              <w:rPr>
                <w:rFonts w:hint="eastAsia" w:ascii="仿宋" w:hAnsi="仿宋" w:eastAsia="仿宋" w:cs="仿宋"/>
                <w:color w:val="auto"/>
                <w:sz w:val="24"/>
                <w:szCs w:val="24"/>
                <w:lang w:val="en-US" w:eastAsia="zh-CN"/>
              </w:rPr>
              <w:t>进行评审，内容详细完整、科学合理、重点突出、售后及培训服务保障体系完善，保障措施完整、具有科学、可行的技术支持能力的售后服务方式，培训方式的得8分，方案内容较详细完整、较科学合理、重点较突出、售后管理体系较完善，保障措施较完整的得5分，方案内容有缺失、不合理、售后服务体系及保障措施不完善，可操作性无重点、无可行性的得3分；方案不清晰，整体混乱或未提供的不得分。</w:t>
            </w:r>
          </w:p>
        </w:tc>
      </w:tr>
      <w:tr w14:paraId="005B7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0" w:type="auto"/>
            <w:gridSpan w:val="3"/>
            <w:shd w:val="clear" w:color="auto" w:fill="auto"/>
            <w:vAlign w:val="center"/>
          </w:tcPr>
          <w:p w14:paraId="39CC199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商务部分（</w:t>
            </w: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rPr>
              <w:t>分）</w:t>
            </w:r>
          </w:p>
        </w:tc>
      </w:tr>
      <w:tr w14:paraId="17D88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66" w:type="dxa"/>
            <w:shd w:val="clear" w:color="auto" w:fill="auto"/>
            <w:vAlign w:val="center"/>
          </w:tcPr>
          <w:p w14:paraId="3FC3D5A1">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933" w:type="dxa"/>
            <w:shd w:val="clear" w:color="auto" w:fill="auto"/>
            <w:vAlign w:val="center"/>
          </w:tcPr>
          <w:p w14:paraId="385C4A86">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人员配置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0" w:type="auto"/>
            <w:shd w:val="clear" w:color="auto" w:fill="auto"/>
            <w:vAlign w:val="center"/>
          </w:tcPr>
          <w:p w14:paraId="20616CA7">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项目经理（仅限一人）同时具有高级系统架构设计师、高级信息系统项目管理师、高级系统规划与管理师、高级系统分析师的得4分，缺少任意一项证书不得分；</w:t>
            </w:r>
          </w:p>
          <w:p w14:paraId="20A45B6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2、本项目的服务团队中，具有CISP、大数据分析师（高级）、数据库管理员证书、信息安全保障人员认证，每有1项得0.5分，最高得2分，一种证书只加一次分。</w:t>
            </w:r>
          </w:p>
          <w:p w14:paraId="3D1C6B60">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lang w:val="en-US" w:eastAsia="zh-CN" w:bidi="ar-SA"/>
              </w:rPr>
              <w:t>评审依据：投标文件中提供相关证书扫描件，并提供开标截止时间前近六个月内投标企业为其缴纳社保凭证，未提供或提供不全的不得分。</w:t>
            </w:r>
          </w:p>
        </w:tc>
      </w:tr>
      <w:tr w14:paraId="48A83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466" w:type="dxa"/>
            <w:shd w:val="clear" w:color="auto" w:fill="auto"/>
            <w:vAlign w:val="center"/>
          </w:tcPr>
          <w:p w14:paraId="182CEA3B">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933" w:type="dxa"/>
            <w:shd w:val="clear" w:color="auto" w:fill="auto"/>
            <w:vAlign w:val="center"/>
          </w:tcPr>
          <w:p w14:paraId="5565B93E">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类似业绩实力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p>
        </w:tc>
        <w:tc>
          <w:tcPr>
            <w:tcW w:w="0" w:type="auto"/>
            <w:shd w:val="clear" w:color="auto" w:fill="auto"/>
            <w:vAlign w:val="center"/>
          </w:tcPr>
          <w:p w14:paraId="0CF36C3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1.投标人提供近</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月至今）类似项目业绩，每提供一份得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5E4C003B">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注：提供</w:t>
            </w:r>
            <w:r>
              <w:rPr>
                <w:rFonts w:hint="eastAsia" w:ascii="仿宋" w:hAnsi="仿宋" w:eastAsia="仿宋" w:cs="仿宋"/>
                <w:color w:val="auto"/>
                <w:sz w:val="24"/>
                <w:szCs w:val="24"/>
                <w:highlight w:val="none"/>
                <w:lang w:val="en-US" w:eastAsia="zh-CN"/>
              </w:rPr>
              <w:t>中标通知书或</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复印件</w:t>
            </w:r>
          </w:p>
        </w:tc>
      </w:tr>
      <w:tr w14:paraId="5467B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66" w:type="dxa"/>
            <w:shd w:val="clear" w:color="auto" w:fill="auto"/>
            <w:vAlign w:val="center"/>
          </w:tcPr>
          <w:p w14:paraId="5CC5B03B">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分</w:t>
            </w:r>
          </w:p>
        </w:tc>
        <w:tc>
          <w:tcPr>
            <w:tcW w:w="933" w:type="dxa"/>
            <w:shd w:val="clear" w:color="auto" w:fill="auto"/>
            <w:vAlign w:val="center"/>
          </w:tcPr>
          <w:p w14:paraId="368EBF95">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综合实力（17分）</w:t>
            </w:r>
          </w:p>
        </w:tc>
        <w:tc>
          <w:tcPr>
            <w:tcW w:w="0" w:type="auto"/>
            <w:shd w:val="clear" w:color="auto" w:fill="auto"/>
            <w:vAlign w:val="center"/>
          </w:tcPr>
          <w:p w14:paraId="30E0ECE4">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.投标人具有有效期内的知识产权管理体系认证证书（认证范围包括住房、信息化等相关术语）的得 </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5139E0E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投标人具有</w:t>
            </w:r>
            <w:r>
              <w:rPr>
                <w:rFonts w:hint="eastAsia" w:ascii="仿宋" w:hAnsi="仿宋" w:eastAsia="仿宋" w:cs="仿宋"/>
                <w:sz w:val="24"/>
                <w:szCs w:val="24"/>
              </w:rPr>
              <w:t>ISO22301 业务连续性管理体系认证证书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认证范围包括软件开发、信息系统集成及服务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的得3分。</w:t>
            </w:r>
          </w:p>
          <w:p w14:paraId="12922190">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.投标人具有 ISO29151 通用个人信息保护管理体系证书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认证范围包括软件开发、信息系统集成及服务</w:t>
            </w:r>
            <w:r>
              <w:rPr>
                <w:rFonts w:hint="eastAsia" w:ascii="仿宋" w:hAnsi="仿宋" w:eastAsia="仿宋" w:cs="仿宋"/>
                <w:sz w:val="24"/>
                <w:szCs w:val="24"/>
                <w:lang w:eastAsia="zh-CN"/>
              </w:rPr>
              <w:t>）</w:t>
            </w:r>
            <w:r>
              <w:rPr>
                <w:rFonts w:hint="eastAsia" w:ascii="仿宋" w:hAnsi="仿宋" w:eastAsia="仿宋" w:cs="仿宋"/>
                <w:sz w:val="24"/>
                <w:szCs w:val="24"/>
              </w:rPr>
              <w:t xml:space="preserve">的得 </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分。</w:t>
            </w:r>
          </w:p>
          <w:p w14:paraId="07BDF610">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投标人具有CS信息系统建设和服务能力证书三级及以上的得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0B73174C">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投标人具有CCRC信息安全服务资质认证证书（信息系统安全集成、安全运维、软件安全开发等），每提供一个一级证书得</w:t>
            </w:r>
            <w:r>
              <w:rPr>
                <w:rFonts w:hint="eastAsia" w:ascii="仿宋" w:hAnsi="仿宋" w:eastAsia="仿宋" w:cs="仿宋"/>
                <w:sz w:val="24"/>
                <w:szCs w:val="24"/>
                <w:lang w:val="en-US" w:eastAsia="zh-CN"/>
              </w:rPr>
              <w:t>1</w:t>
            </w:r>
            <w:r>
              <w:rPr>
                <w:rFonts w:hint="eastAsia" w:ascii="仿宋" w:hAnsi="仿宋" w:eastAsia="仿宋" w:cs="仿宋"/>
                <w:sz w:val="24"/>
                <w:szCs w:val="24"/>
              </w:rPr>
              <w:t>分，每提供一个二级证书得</w:t>
            </w:r>
            <w:r>
              <w:rPr>
                <w:rFonts w:hint="eastAsia" w:ascii="仿宋" w:hAnsi="仿宋" w:eastAsia="仿宋" w:cs="仿宋"/>
                <w:sz w:val="24"/>
                <w:szCs w:val="24"/>
                <w:lang w:val="en-US" w:eastAsia="zh-CN"/>
              </w:rPr>
              <w:t>0.5</w:t>
            </w:r>
            <w:r>
              <w:rPr>
                <w:rFonts w:hint="eastAsia" w:ascii="仿宋" w:hAnsi="仿宋" w:eastAsia="仿宋" w:cs="仿宋"/>
                <w:sz w:val="24"/>
                <w:szCs w:val="24"/>
              </w:rPr>
              <w:t>分，最多得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681C9F7A">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6.投标人产品或服务取得省级(直辖市)及以上部门颁发的新技术新产品(服务)证书得3分，未提供的不得分。</w:t>
            </w:r>
          </w:p>
        </w:tc>
      </w:tr>
    </w:tbl>
    <w:p w14:paraId="20750CD8">
      <w:pPr>
        <w:pStyle w:val="35"/>
        <w:rPr>
          <w:rFonts w:hint="eastAsia" w:ascii="宋体" w:hAnsi="宋体" w:cs="宋体"/>
          <w:b/>
          <w:bCs/>
          <w:sz w:val="28"/>
          <w:szCs w:val="28"/>
        </w:rPr>
      </w:pPr>
    </w:p>
    <w:p w14:paraId="382E67BE"/>
    <w:p w14:paraId="32AC9218">
      <w:pPr>
        <w:rPr>
          <w:b/>
          <w:bCs/>
        </w:rPr>
      </w:pPr>
      <w:r>
        <w:rPr>
          <w:rFonts w:hint="eastAsia" w:cs="宋体"/>
          <w:b/>
          <w:bCs/>
          <w:color w:val="FF0000"/>
        </w:rPr>
        <w:t>注：提供以上所需证明文件须真实有效，否则按废标处理。</w:t>
      </w:r>
    </w:p>
    <w:p w14:paraId="73B87B7B">
      <w:pPr>
        <w:rPr>
          <w:rFonts w:ascii="宋体"/>
          <w:sz w:val="22"/>
          <w:szCs w:val="22"/>
        </w:rPr>
      </w:pPr>
    </w:p>
    <w:p w14:paraId="28629A17">
      <w:pPr>
        <w:pStyle w:val="22"/>
        <w:adjustRightInd w:val="0"/>
        <w:snapToGrid w:val="0"/>
        <w:spacing w:beforeLines="50" w:line="360" w:lineRule="auto"/>
        <w:jc w:val="left"/>
        <w:rPr>
          <w:rFonts w:hAnsi="宋体" w:cs="Times New Roman"/>
          <w:b/>
          <w:bCs/>
          <w:sz w:val="22"/>
          <w:szCs w:val="22"/>
        </w:rPr>
      </w:pPr>
      <w:r>
        <w:rPr>
          <w:rFonts w:hAnsi="宋体"/>
          <w:b/>
          <w:bCs/>
          <w:sz w:val="22"/>
          <w:szCs w:val="22"/>
        </w:rPr>
        <w:t>4</w:t>
      </w:r>
      <w:r>
        <w:rPr>
          <w:rFonts w:hint="eastAsia" w:hAnsi="宋体"/>
          <w:b/>
          <w:bCs/>
          <w:sz w:val="22"/>
          <w:szCs w:val="22"/>
        </w:rPr>
        <w:t>、中标供应商的确定</w:t>
      </w:r>
    </w:p>
    <w:p w14:paraId="6FF99892">
      <w:pPr>
        <w:pStyle w:val="110"/>
        <w:ind w:left="656" w:leftChars="102" w:hanging="442" w:hangingChars="200"/>
        <w:rPr>
          <w:rFonts w:hAnsi="宋体" w:cs="Times New Roman"/>
          <w:kern w:val="2"/>
          <w:sz w:val="21"/>
          <w:szCs w:val="21"/>
          <w:lang w:val="zh-CN" w:eastAsia="zh-CN"/>
        </w:rPr>
      </w:pPr>
      <w:r>
        <w:rPr>
          <w:rFonts w:hAnsi="宋体"/>
          <w:b/>
          <w:bCs/>
          <w:sz w:val="22"/>
          <w:szCs w:val="22"/>
          <w:lang w:eastAsia="zh-CN"/>
        </w:rPr>
        <w:t xml:space="preserve">   </w:t>
      </w:r>
      <w:r>
        <w:rPr>
          <w:rFonts w:hint="eastAsia" w:hAnsi="宋体"/>
          <w:kern w:val="2"/>
          <w:sz w:val="21"/>
          <w:szCs w:val="21"/>
          <w:lang w:val="zh-CN" w:eastAsia="zh-CN"/>
        </w:rPr>
        <w:t>由评标委员会推荐，采购单位按照评标报告推荐的顺序确定中标单位。</w:t>
      </w:r>
    </w:p>
    <w:p w14:paraId="2C75DE45">
      <w:pPr>
        <w:pStyle w:val="22"/>
        <w:adjustRightInd w:val="0"/>
        <w:snapToGrid w:val="0"/>
        <w:spacing w:beforeLines="50" w:line="360" w:lineRule="auto"/>
        <w:ind w:firstLine="450"/>
        <w:jc w:val="left"/>
        <w:rPr>
          <w:rFonts w:hAnsi="宋体" w:cs="Times New Roman"/>
          <w:sz w:val="22"/>
          <w:szCs w:val="22"/>
        </w:rPr>
      </w:pPr>
      <w:r>
        <w:rPr>
          <w:rFonts w:hint="eastAsia" w:hAnsi="宋体"/>
          <w:sz w:val="22"/>
          <w:szCs w:val="22"/>
        </w:rPr>
        <w:t>中标人确定后，由采购人发布中标结果，同时向中标供应商发出中标通知书，</w:t>
      </w:r>
      <w:r>
        <w:rPr>
          <w:rFonts w:hint="eastAsia" w:hAnsi="宋体"/>
          <w:b/>
          <w:bCs/>
          <w:sz w:val="22"/>
          <w:szCs w:val="22"/>
        </w:rPr>
        <w:t>按照陇南市财政局关于优化政府采购领域办事程序促进公平竞争的通知陇财采〔</w:t>
      </w:r>
      <w:r>
        <w:rPr>
          <w:rFonts w:hAnsi="宋体"/>
          <w:b/>
          <w:bCs/>
          <w:sz w:val="22"/>
          <w:szCs w:val="22"/>
        </w:rPr>
        <w:t>2022</w:t>
      </w:r>
      <w:r>
        <w:rPr>
          <w:rFonts w:hint="eastAsia" w:hAnsi="宋体"/>
          <w:b/>
          <w:bCs/>
          <w:sz w:val="22"/>
          <w:szCs w:val="22"/>
        </w:rPr>
        <w:t>〕</w:t>
      </w:r>
      <w:r>
        <w:rPr>
          <w:rFonts w:hAnsi="宋体"/>
          <w:b/>
          <w:bCs/>
          <w:sz w:val="22"/>
          <w:szCs w:val="22"/>
        </w:rPr>
        <w:t>30</w:t>
      </w:r>
      <w:r>
        <w:rPr>
          <w:rFonts w:hint="eastAsia" w:hAnsi="宋体"/>
          <w:b/>
          <w:bCs/>
          <w:sz w:val="22"/>
          <w:szCs w:val="22"/>
        </w:rPr>
        <w:t>号政府采购合同签订期限由法定</w:t>
      </w:r>
      <w:r>
        <w:rPr>
          <w:rFonts w:hAnsi="宋体"/>
          <w:b/>
          <w:bCs/>
          <w:sz w:val="22"/>
          <w:szCs w:val="22"/>
        </w:rPr>
        <w:t>30</w:t>
      </w:r>
      <w:r>
        <w:rPr>
          <w:rFonts w:hint="eastAsia" w:hAnsi="宋体"/>
          <w:b/>
          <w:bCs/>
          <w:sz w:val="22"/>
          <w:szCs w:val="22"/>
        </w:rPr>
        <w:t>日内压缩至</w:t>
      </w:r>
      <w:r>
        <w:rPr>
          <w:rFonts w:hAnsi="宋体"/>
          <w:b/>
          <w:bCs/>
          <w:sz w:val="22"/>
          <w:szCs w:val="22"/>
        </w:rPr>
        <w:t>10</w:t>
      </w:r>
      <w:r>
        <w:rPr>
          <w:rFonts w:hint="eastAsia" w:hAnsi="宋体"/>
          <w:b/>
          <w:bCs/>
          <w:sz w:val="22"/>
          <w:szCs w:val="22"/>
        </w:rPr>
        <w:t>日内，合同备案由法定</w:t>
      </w:r>
      <w:r>
        <w:rPr>
          <w:rFonts w:hAnsi="宋体"/>
          <w:b/>
          <w:bCs/>
          <w:sz w:val="22"/>
          <w:szCs w:val="22"/>
        </w:rPr>
        <w:t>7</w:t>
      </w:r>
      <w:r>
        <w:rPr>
          <w:rFonts w:hint="eastAsia" w:hAnsi="宋体"/>
          <w:b/>
          <w:bCs/>
          <w:sz w:val="22"/>
          <w:szCs w:val="22"/>
        </w:rPr>
        <w:t>个工作日以内压缩至</w:t>
      </w:r>
      <w:r>
        <w:rPr>
          <w:rFonts w:hAnsi="宋体"/>
          <w:b/>
          <w:bCs/>
          <w:sz w:val="22"/>
          <w:szCs w:val="22"/>
        </w:rPr>
        <w:t>2</w:t>
      </w:r>
      <w:r>
        <w:rPr>
          <w:rFonts w:hint="eastAsia" w:hAnsi="宋体"/>
          <w:b/>
          <w:bCs/>
          <w:sz w:val="22"/>
          <w:szCs w:val="22"/>
        </w:rPr>
        <w:t>个工作日以内。</w:t>
      </w:r>
      <w:r>
        <w:rPr>
          <w:rFonts w:hint="eastAsia" w:hAnsi="宋体"/>
          <w:sz w:val="22"/>
          <w:szCs w:val="22"/>
        </w:rPr>
        <w:t>并在中标通知书发出之日起</w:t>
      </w:r>
      <w:r>
        <w:rPr>
          <w:rFonts w:hAnsi="宋体"/>
          <w:sz w:val="22"/>
          <w:szCs w:val="22"/>
        </w:rPr>
        <w:t>10</w:t>
      </w:r>
      <w:r>
        <w:rPr>
          <w:rFonts w:hint="eastAsia" w:hAnsi="宋体"/>
          <w:sz w:val="22"/>
          <w:szCs w:val="22"/>
        </w:rPr>
        <w:t>日内与中标人签订书面合同。</w:t>
      </w:r>
      <w:bookmarkStart w:id="64" w:name="_Toc17580"/>
      <w:bookmarkStart w:id="65" w:name="_Toc1347"/>
      <w:bookmarkStart w:id="66" w:name="_Toc19478"/>
      <w:bookmarkStart w:id="67" w:name="_Toc385671119"/>
    </w:p>
    <w:p w14:paraId="39D61E94">
      <w:pPr>
        <w:pStyle w:val="22"/>
        <w:pageBreakBefore/>
        <w:adjustRightInd w:val="0"/>
        <w:snapToGrid w:val="0"/>
        <w:spacing w:beforeLines="50" w:line="360" w:lineRule="auto"/>
        <w:ind w:firstLine="3373" w:firstLineChars="1050"/>
        <w:jc w:val="left"/>
        <w:outlineLvl w:val="2"/>
        <w:rPr>
          <w:rFonts w:hAnsi="宋体" w:cs="Times New Roman"/>
          <w:b/>
          <w:bCs/>
          <w:sz w:val="32"/>
          <w:szCs w:val="32"/>
        </w:rPr>
      </w:pPr>
      <w:r>
        <w:rPr>
          <w:rFonts w:hint="eastAsia" w:hAnsi="宋体"/>
          <w:b/>
          <w:bCs/>
          <w:sz w:val="32"/>
          <w:szCs w:val="32"/>
        </w:rPr>
        <w:t>二、评标程序</w:t>
      </w:r>
      <w:bookmarkEnd w:id="64"/>
      <w:bookmarkEnd w:id="65"/>
      <w:bookmarkEnd w:id="66"/>
      <w:bookmarkEnd w:id="67"/>
    </w:p>
    <w:p w14:paraId="0E91D445">
      <w:pPr>
        <w:spacing w:line="360" w:lineRule="auto"/>
        <w:ind w:firstLine="442" w:firstLineChars="200"/>
        <w:jc w:val="left"/>
        <w:rPr>
          <w:rFonts w:ascii="宋体"/>
          <w:sz w:val="22"/>
          <w:szCs w:val="22"/>
        </w:rPr>
      </w:pPr>
      <w:r>
        <w:rPr>
          <w:rFonts w:ascii="宋体" w:hAnsi="宋体" w:cs="宋体"/>
          <w:b/>
          <w:bCs/>
          <w:sz w:val="22"/>
          <w:szCs w:val="22"/>
        </w:rPr>
        <w:t>1.</w:t>
      </w:r>
      <w:r>
        <w:rPr>
          <w:rFonts w:hint="eastAsia" w:ascii="宋体" w:hAnsi="宋体" w:cs="宋体"/>
          <w:b/>
          <w:bCs/>
          <w:sz w:val="22"/>
          <w:szCs w:val="22"/>
        </w:rPr>
        <w:t>初步评审（资格后审）</w:t>
      </w:r>
      <w:r>
        <w:rPr>
          <w:rFonts w:hint="eastAsia" w:ascii="宋体" w:hAnsi="宋体" w:cs="宋体"/>
          <w:sz w:val="22"/>
          <w:szCs w:val="22"/>
        </w:rPr>
        <w:t>：</w:t>
      </w:r>
    </w:p>
    <w:p w14:paraId="10FC097A">
      <w:pPr>
        <w:adjustRightInd w:val="0"/>
        <w:snapToGrid w:val="0"/>
        <w:spacing w:line="360" w:lineRule="auto"/>
        <w:ind w:firstLine="440" w:firstLineChars="200"/>
        <w:rPr>
          <w:rFonts w:ascii="宋体"/>
          <w:sz w:val="22"/>
          <w:szCs w:val="22"/>
        </w:rPr>
      </w:pPr>
      <w:r>
        <w:rPr>
          <w:rFonts w:hint="eastAsia" w:ascii="宋体" w:hAnsi="宋体" w:cs="宋体"/>
          <w:sz w:val="22"/>
          <w:szCs w:val="22"/>
        </w:rPr>
        <w:t>资格性审查表：</w:t>
      </w:r>
    </w:p>
    <w:tbl>
      <w:tblPr>
        <w:tblStyle w:val="46"/>
        <w:tblW w:w="8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2450"/>
        <w:gridCol w:w="5110"/>
      </w:tblGrid>
      <w:tr w14:paraId="6C70C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68" w:type="dxa"/>
            <w:vAlign w:val="center"/>
          </w:tcPr>
          <w:p w14:paraId="2AE4C5E4">
            <w:pPr>
              <w:spacing w:line="280" w:lineRule="exact"/>
              <w:jc w:val="center"/>
              <w:rPr>
                <w:rFonts w:ascii="宋体"/>
                <w:kern w:val="0"/>
                <w:sz w:val="22"/>
                <w:szCs w:val="22"/>
              </w:rPr>
            </w:pPr>
            <w:r>
              <w:rPr>
                <w:rFonts w:hint="eastAsia" w:ascii="宋体" w:hAnsi="宋体" w:cs="宋体"/>
                <w:kern w:val="0"/>
                <w:sz w:val="22"/>
                <w:szCs w:val="22"/>
              </w:rPr>
              <w:t>评审内容</w:t>
            </w:r>
          </w:p>
        </w:tc>
        <w:tc>
          <w:tcPr>
            <w:tcW w:w="2450" w:type="dxa"/>
            <w:vAlign w:val="center"/>
          </w:tcPr>
          <w:p w14:paraId="3B8C1284">
            <w:pPr>
              <w:spacing w:line="280" w:lineRule="exact"/>
              <w:jc w:val="center"/>
              <w:rPr>
                <w:rFonts w:ascii="宋体"/>
                <w:kern w:val="0"/>
                <w:sz w:val="22"/>
                <w:szCs w:val="22"/>
              </w:rPr>
            </w:pPr>
            <w:r>
              <w:rPr>
                <w:rFonts w:hint="eastAsia" w:ascii="宋体" w:hAnsi="宋体" w:cs="宋体"/>
                <w:kern w:val="0"/>
                <w:sz w:val="22"/>
                <w:szCs w:val="22"/>
              </w:rPr>
              <w:t>评审因素</w:t>
            </w:r>
          </w:p>
        </w:tc>
        <w:tc>
          <w:tcPr>
            <w:tcW w:w="5110" w:type="dxa"/>
            <w:vAlign w:val="center"/>
          </w:tcPr>
          <w:p w14:paraId="20138451">
            <w:pPr>
              <w:spacing w:line="280" w:lineRule="exact"/>
              <w:jc w:val="center"/>
              <w:rPr>
                <w:rFonts w:ascii="宋体"/>
                <w:kern w:val="0"/>
                <w:sz w:val="22"/>
                <w:szCs w:val="22"/>
              </w:rPr>
            </w:pPr>
            <w:r>
              <w:rPr>
                <w:rFonts w:hint="eastAsia" w:ascii="宋体" w:hAnsi="宋体" w:cs="宋体"/>
                <w:kern w:val="0"/>
                <w:sz w:val="22"/>
                <w:szCs w:val="22"/>
              </w:rPr>
              <w:t>评审标准</w:t>
            </w:r>
          </w:p>
        </w:tc>
      </w:tr>
      <w:tr w14:paraId="0FB39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exact"/>
          <w:jc w:val="center"/>
        </w:trPr>
        <w:tc>
          <w:tcPr>
            <w:tcW w:w="1368" w:type="dxa"/>
            <w:vMerge w:val="restart"/>
            <w:vAlign w:val="center"/>
          </w:tcPr>
          <w:p w14:paraId="51130706">
            <w:pPr>
              <w:spacing w:line="280" w:lineRule="exact"/>
              <w:jc w:val="center"/>
              <w:rPr>
                <w:rFonts w:ascii="宋体"/>
                <w:kern w:val="0"/>
                <w:sz w:val="22"/>
                <w:szCs w:val="22"/>
              </w:rPr>
            </w:pPr>
            <w:r>
              <w:rPr>
                <w:rFonts w:hint="eastAsia" w:ascii="宋体" w:hAnsi="宋体" w:cs="宋体"/>
                <w:kern w:val="0"/>
                <w:sz w:val="22"/>
                <w:szCs w:val="22"/>
              </w:rPr>
              <w:t>资格性</w:t>
            </w:r>
          </w:p>
          <w:p w14:paraId="038BE11E">
            <w:pPr>
              <w:spacing w:line="280" w:lineRule="exact"/>
              <w:jc w:val="center"/>
              <w:rPr>
                <w:rFonts w:ascii="宋体"/>
                <w:kern w:val="0"/>
                <w:sz w:val="22"/>
                <w:szCs w:val="22"/>
              </w:rPr>
            </w:pPr>
            <w:r>
              <w:rPr>
                <w:rFonts w:hint="eastAsia" w:ascii="宋体" w:hAnsi="宋体" w:cs="宋体"/>
                <w:kern w:val="0"/>
                <w:sz w:val="22"/>
                <w:szCs w:val="22"/>
              </w:rPr>
              <w:t>检查</w:t>
            </w:r>
          </w:p>
        </w:tc>
        <w:tc>
          <w:tcPr>
            <w:tcW w:w="2450" w:type="dxa"/>
            <w:vAlign w:val="center"/>
          </w:tcPr>
          <w:p w14:paraId="2608C6B8">
            <w:pPr>
              <w:spacing w:line="280" w:lineRule="exact"/>
              <w:jc w:val="left"/>
              <w:rPr>
                <w:rFonts w:ascii="宋体"/>
                <w:kern w:val="0"/>
                <w:sz w:val="22"/>
                <w:szCs w:val="22"/>
              </w:rPr>
            </w:pPr>
            <w:r>
              <w:rPr>
                <w:rFonts w:hint="eastAsia" w:ascii="宋体" w:hAnsi="宋体" w:cs="宋体"/>
                <w:kern w:val="0"/>
                <w:sz w:val="22"/>
                <w:szCs w:val="22"/>
              </w:rPr>
              <w:t>具有独立承担民事责任的能力</w:t>
            </w:r>
          </w:p>
        </w:tc>
        <w:tc>
          <w:tcPr>
            <w:tcW w:w="5110" w:type="dxa"/>
            <w:vAlign w:val="center"/>
          </w:tcPr>
          <w:p w14:paraId="62481EE8">
            <w:pPr>
              <w:spacing w:line="280" w:lineRule="exact"/>
              <w:jc w:val="left"/>
              <w:rPr>
                <w:rFonts w:ascii="宋体"/>
                <w:kern w:val="0"/>
                <w:sz w:val="22"/>
                <w:szCs w:val="22"/>
              </w:rPr>
            </w:pPr>
            <w:r>
              <w:rPr>
                <w:rFonts w:hint="eastAsia" w:ascii="宋体" w:hAnsi="宋体" w:cs="宋体"/>
                <w:kern w:val="0"/>
                <w:sz w:val="22"/>
                <w:szCs w:val="22"/>
              </w:rPr>
              <w:t>审查法人或其他组织的营业执照、税务登记证、组织机构代码证；【</w:t>
            </w:r>
            <w:r>
              <w:rPr>
                <w:rFonts w:hint="eastAsia" w:ascii="宋体" w:hAnsi="宋体" w:cs="宋体"/>
                <w:sz w:val="22"/>
                <w:szCs w:val="22"/>
              </w:rPr>
              <w:t>“三证合一”的证件为有效证件</w:t>
            </w:r>
            <w:r>
              <w:rPr>
                <w:rFonts w:hint="eastAsia" w:ascii="宋体" w:hAnsi="宋体" w:cs="宋体"/>
                <w:kern w:val="0"/>
                <w:sz w:val="22"/>
                <w:szCs w:val="22"/>
              </w:rPr>
              <w:t>】等资格证明文件，确认供应商具有独立承担民事责任的能力。</w:t>
            </w:r>
          </w:p>
        </w:tc>
      </w:tr>
      <w:tr w14:paraId="1BB55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jc w:val="center"/>
        </w:trPr>
        <w:tc>
          <w:tcPr>
            <w:tcW w:w="1368" w:type="dxa"/>
            <w:vMerge w:val="continue"/>
            <w:vAlign w:val="center"/>
          </w:tcPr>
          <w:p w14:paraId="2241CDD8">
            <w:pPr>
              <w:spacing w:line="280" w:lineRule="exact"/>
              <w:jc w:val="left"/>
              <w:rPr>
                <w:rFonts w:ascii="宋体"/>
                <w:kern w:val="0"/>
                <w:sz w:val="22"/>
                <w:szCs w:val="22"/>
              </w:rPr>
            </w:pPr>
          </w:p>
        </w:tc>
        <w:tc>
          <w:tcPr>
            <w:tcW w:w="2450" w:type="dxa"/>
            <w:vAlign w:val="center"/>
          </w:tcPr>
          <w:p w14:paraId="504EC62E">
            <w:pPr>
              <w:spacing w:line="280" w:lineRule="exact"/>
              <w:jc w:val="left"/>
              <w:rPr>
                <w:rFonts w:ascii="宋体"/>
                <w:kern w:val="0"/>
                <w:sz w:val="22"/>
                <w:szCs w:val="22"/>
              </w:rPr>
            </w:pPr>
            <w:r>
              <w:rPr>
                <w:rFonts w:hint="eastAsia" w:ascii="宋体" w:hAnsi="宋体" w:cs="宋体"/>
                <w:kern w:val="0"/>
                <w:sz w:val="22"/>
                <w:szCs w:val="22"/>
              </w:rPr>
              <w:t>具有履行合同所必需的设备和专业技术能力</w:t>
            </w:r>
          </w:p>
        </w:tc>
        <w:tc>
          <w:tcPr>
            <w:tcW w:w="5110" w:type="dxa"/>
            <w:vAlign w:val="center"/>
          </w:tcPr>
          <w:p w14:paraId="5CFD5BF1">
            <w:pPr>
              <w:spacing w:line="280" w:lineRule="exact"/>
              <w:jc w:val="left"/>
              <w:rPr>
                <w:rFonts w:ascii="宋体"/>
                <w:kern w:val="0"/>
                <w:sz w:val="22"/>
                <w:szCs w:val="22"/>
              </w:rPr>
            </w:pPr>
            <w:r>
              <w:rPr>
                <w:rFonts w:hint="eastAsia" w:ascii="宋体" w:hAnsi="宋体" w:cs="宋体"/>
                <w:sz w:val="22"/>
                <w:szCs w:val="22"/>
              </w:rPr>
              <w:t>审查</w:t>
            </w:r>
            <w:r>
              <w:rPr>
                <w:rFonts w:hint="eastAsia" w:ascii="宋体" w:hAnsi="宋体" w:cs="宋体"/>
                <w:kern w:val="0"/>
                <w:sz w:val="22"/>
                <w:szCs w:val="22"/>
              </w:rPr>
              <w:t>具备履行合同所必需的设备和专业技术能力的证明材料，确认具有履行合同所必须的设备和专业技术能力。</w:t>
            </w:r>
          </w:p>
        </w:tc>
      </w:tr>
      <w:tr w14:paraId="666B7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1368" w:type="dxa"/>
            <w:vMerge w:val="continue"/>
            <w:vAlign w:val="center"/>
          </w:tcPr>
          <w:p w14:paraId="481901E8">
            <w:pPr>
              <w:spacing w:line="280" w:lineRule="exact"/>
              <w:jc w:val="left"/>
              <w:rPr>
                <w:rFonts w:ascii="宋体"/>
                <w:kern w:val="0"/>
                <w:sz w:val="22"/>
                <w:szCs w:val="22"/>
              </w:rPr>
            </w:pPr>
          </w:p>
        </w:tc>
        <w:tc>
          <w:tcPr>
            <w:tcW w:w="2450" w:type="dxa"/>
            <w:vAlign w:val="center"/>
          </w:tcPr>
          <w:p w14:paraId="18E97F7C">
            <w:pPr>
              <w:spacing w:line="280" w:lineRule="exact"/>
              <w:jc w:val="left"/>
              <w:rPr>
                <w:rFonts w:ascii="宋体"/>
                <w:kern w:val="0"/>
                <w:sz w:val="22"/>
                <w:szCs w:val="22"/>
              </w:rPr>
            </w:pPr>
            <w:r>
              <w:rPr>
                <w:rFonts w:hint="eastAsia" w:ascii="宋体" w:hAnsi="宋体" w:cs="宋体"/>
                <w:kern w:val="0"/>
                <w:sz w:val="22"/>
                <w:szCs w:val="22"/>
              </w:rPr>
              <w:t>参加政府采购活动前</w:t>
            </w:r>
            <w:r>
              <w:rPr>
                <w:rFonts w:ascii="宋体" w:hAnsi="宋体" w:cs="宋体"/>
                <w:kern w:val="0"/>
                <w:sz w:val="22"/>
                <w:szCs w:val="22"/>
              </w:rPr>
              <w:t>3</w:t>
            </w:r>
            <w:r>
              <w:rPr>
                <w:rFonts w:hint="eastAsia" w:ascii="宋体" w:hAnsi="宋体" w:cs="宋体"/>
                <w:kern w:val="0"/>
                <w:sz w:val="22"/>
                <w:szCs w:val="22"/>
              </w:rPr>
              <w:t>年内，在经营活动中没有重大违法记录</w:t>
            </w:r>
          </w:p>
        </w:tc>
        <w:tc>
          <w:tcPr>
            <w:tcW w:w="5110" w:type="dxa"/>
            <w:vAlign w:val="center"/>
          </w:tcPr>
          <w:p w14:paraId="60B241AE">
            <w:pPr>
              <w:spacing w:line="280" w:lineRule="exact"/>
              <w:jc w:val="left"/>
              <w:rPr>
                <w:rFonts w:ascii="宋体"/>
                <w:sz w:val="22"/>
                <w:szCs w:val="22"/>
              </w:rPr>
            </w:pPr>
            <w:r>
              <w:rPr>
                <w:rFonts w:hint="eastAsia" w:ascii="宋体" w:hAnsi="宋体" w:cs="宋体"/>
                <w:kern w:val="0"/>
                <w:sz w:val="22"/>
                <w:szCs w:val="22"/>
              </w:rPr>
              <w:t>审查参加政府采购活动前</w:t>
            </w:r>
            <w:r>
              <w:rPr>
                <w:rFonts w:ascii="宋体" w:hAnsi="宋体" w:cs="宋体"/>
                <w:kern w:val="0"/>
                <w:sz w:val="22"/>
                <w:szCs w:val="22"/>
              </w:rPr>
              <w:t>3</w:t>
            </w:r>
            <w:r>
              <w:rPr>
                <w:rFonts w:hint="eastAsia" w:ascii="宋体" w:hAnsi="宋体" w:cs="宋体"/>
                <w:kern w:val="0"/>
                <w:sz w:val="22"/>
                <w:szCs w:val="22"/>
              </w:rPr>
              <w:t>年内在经营活动中没有重大违法记录、严重违约及重大质量问题的书面声明。</w:t>
            </w:r>
          </w:p>
        </w:tc>
      </w:tr>
      <w:tr w14:paraId="5FB32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1368" w:type="dxa"/>
            <w:vMerge w:val="continue"/>
            <w:vAlign w:val="center"/>
          </w:tcPr>
          <w:p w14:paraId="396E6D47">
            <w:pPr>
              <w:spacing w:line="280" w:lineRule="exact"/>
              <w:jc w:val="left"/>
              <w:rPr>
                <w:rFonts w:ascii="宋体"/>
                <w:kern w:val="0"/>
                <w:sz w:val="22"/>
                <w:szCs w:val="22"/>
              </w:rPr>
            </w:pPr>
          </w:p>
        </w:tc>
        <w:tc>
          <w:tcPr>
            <w:tcW w:w="2450" w:type="dxa"/>
            <w:vAlign w:val="center"/>
          </w:tcPr>
          <w:p w14:paraId="03C99CF8">
            <w:pPr>
              <w:spacing w:line="280" w:lineRule="exact"/>
              <w:jc w:val="left"/>
              <w:rPr>
                <w:rFonts w:ascii="宋体"/>
                <w:kern w:val="0"/>
                <w:sz w:val="22"/>
                <w:szCs w:val="22"/>
              </w:rPr>
            </w:pPr>
            <w:r>
              <w:rPr>
                <w:rFonts w:hint="eastAsia" w:ascii="宋体" w:hAnsi="宋体" w:cs="宋体"/>
                <w:kern w:val="0"/>
                <w:sz w:val="22"/>
                <w:szCs w:val="22"/>
              </w:rPr>
              <w:t>营业执照</w:t>
            </w:r>
          </w:p>
        </w:tc>
        <w:tc>
          <w:tcPr>
            <w:tcW w:w="5110" w:type="dxa"/>
            <w:vAlign w:val="center"/>
          </w:tcPr>
          <w:p w14:paraId="237A2E44">
            <w:pPr>
              <w:spacing w:line="280" w:lineRule="exact"/>
              <w:jc w:val="left"/>
              <w:rPr>
                <w:rFonts w:ascii="宋体"/>
                <w:kern w:val="0"/>
                <w:sz w:val="22"/>
                <w:szCs w:val="22"/>
              </w:rPr>
            </w:pPr>
            <w:r>
              <w:rPr>
                <w:rFonts w:hint="eastAsia" w:ascii="宋体" w:hAnsi="宋体" w:cs="宋体"/>
                <w:kern w:val="0"/>
                <w:sz w:val="22"/>
                <w:szCs w:val="22"/>
              </w:rPr>
              <w:t>具备有效的营业执照，经营范围符合本项目招标内容要求。</w:t>
            </w:r>
          </w:p>
        </w:tc>
      </w:tr>
      <w:tr w14:paraId="1CBCF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exact"/>
          <w:jc w:val="center"/>
        </w:trPr>
        <w:tc>
          <w:tcPr>
            <w:tcW w:w="1368" w:type="dxa"/>
            <w:vMerge w:val="continue"/>
            <w:vAlign w:val="center"/>
          </w:tcPr>
          <w:p w14:paraId="4523B20F">
            <w:pPr>
              <w:spacing w:line="280" w:lineRule="exact"/>
              <w:jc w:val="left"/>
              <w:rPr>
                <w:rFonts w:ascii="宋体"/>
                <w:kern w:val="0"/>
                <w:sz w:val="22"/>
                <w:szCs w:val="22"/>
              </w:rPr>
            </w:pPr>
          </w:p>
        </w:tc>
        <w:tc>
          <w:tcPr>
            <w:tcW w:w="2450" w:type="dxa"/>
            <w:vAlign w:val="center"/>
          </w:tcPr>
          <w:p w14:paraId="07FB3836">
            <w:pPr>
              <w:spacing w:line="280" w:lineRule="exact"/>
              <w:jc w:val="left"/>
              <w:rPr>
                <w:rFonts w:ascii="宋体"/>
                <w:kern w:val="0"/>
                <w:sz w:val="22"/>
                <w:szCs w:val="22"/>
              </w:rPr>
            </w:pPr>
            <w:r>
              <w:rPr>
                <w:rFonts w:hint="eastAsia" w:ascii="宋体" w:hAnsi="宋体" w:cs="宋体"/>
                <w:kern w:val="0"/>
                <w:sz w:val="22"/>
                <w:szCs w:val="22"/>
              </w:rPr>
              <w:t>投标资格、企业经营权</w:t>
            </w:r>
          </w:p>
        </w:tc>
        <w:tc>
          <w:tcPr>
            <w:tcW w:w="5110" w:type="dxa"/>
            <w:vAlign w:val="center"/>
          </w:tcPr>
          <w:p w14:paraId="281600E1">
            <w:pPr>
              <w:spacing w:line="280" w:lineRule="exact"/>
              <w:jc w:val="left"/>
              <w:rPr>
                <w:rFonts w:ascii="宋体"/>
                <w:kern w:val="0"/>
                <w:sz w:val="22"/>
                <w:szCs w:val="22"/>
              </w:rPr>
            </w:pPr>
            <w:r>
              <w:rPr>
                <w:rFonts w:hint="eastAsia" w:ascii="宋体" w:hAnsi="宋体" w:cs="宋体"/>
                <w:kern w:val="0"/>
                <w:sz w:val="22"/>
                <w:szCs w:val="22"/>
              </w:rPr>
              <w:t>投标资格、企业经营权有效，投标资格没有被取消或暂停，没有处于被责令停业，财产被接管，冻结、破产状态。</w:t>
            </w:r>
          </w:p>
        </w:tc>
      </w:tr>
      <w:tr w14:paraId="69131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exact"/>
          <w:jc w:val="center"/>
        </w:trPr>
        <w:tc>
          <w:tcPr>
            <w:tcW w:w="1368" w:type="dxa"/>
            <w:vMerge w:val="continue"/>
            <w:vAlign w:val="center"/>
          </w:tcPr>
          <w:p w14:paraId="53B96D76">
            <w:pPr>
              <w:spacing w:line="280" w:lineRule="exact"/>
              <w:jc w:val="left"/>
              <w:rPr>
                <w:rFonts w:ascii="宋体"/>
                <w:kern w:val="0"/>
                <w:sz w:val="22"/>
                <w:szCs w:val="22"/>
              </w:rPr>
            </w:pPr>
          </w:p>
        </w:tc>
        <w:tc>
          <w:tcPr>
            <w:tcW w:w="2450" w:type="dxa"/>
            <w:vAlign w:val="center"/>
          </w:tcPr>
          <w:p w14:paraId="0537B39E">
            <w:pPr>
              <w:spacing w:line="280" w:lineRule="exact"/>
              <w:jc w:val="left"/>
              <w:rPr>
                <w:rFonts w:ascii="宋体"/>
                <w:kern w:val="0"/>
                <w:sz w:val="22"/>
                <w:szCs w:val="22"/>
              </w:rPr>
            </w:pPr>
            <w:r>
              <w:rPr>
                <w:rFonts w:hint="eastAsia" w:ascii="宋体" w:hAnsi="宋体" w:cs="宋体"/>
                <w:kern w:val="0"/>
                <w:sz w:val="22"/>
                <w:szCs w:val="22"/>
              </w:rPr>
              <w:t>信用查询</w:t>
            </w:r>
          </w:p>
        </w:tc>
        <w:tc>
          <w:tcPr>
            <w:tcW w:w="5110" w:type="dxa"/>
            <w:vAlign w:val="center"/>
          </w:tcPr>
          <w:p w14:paraId="49C1A9F0">
            <w:pPr>
              <w:spacing w:line="280" w:lineRule="exact"/>
              <w:jc w:val="left"/>
              <w:rPr>
                <w:rFonts w:ascii="宋体"/>
                <w:kern w:val="0"/>
                <w:sz w:val="22"/>
                <w:szCs w:val="22"/>
              </w:rPr>
            </w:pPr>
            <w:r>
              <w:rPr>
                <w:rFonts w:hint="eastAsia" w:ascii="宋体" w:hAnsi="宋体" w:cs="宋体"/>
                <w:kern w:val="0"/>
                <w:sz w:val="22"/>
                <w:szCs w:val="22"/>
              </w:rPr>
              <w:t>供应商未被列入“信用中国”网站</w:t>
            </w:r>
            <w:r>
              <w:rPr>
                <w:rFonts w:ascii="宋体" w:hAnsi="宋体" w:cs="宋体"/>
                <w:kern w:val="0"/>
                <w:sz w:val="22"/>
                <w:szCs w:val="22"/>
              </w:rPr>
              <w:t>(www.creditchina.gov.cn)</w:t>
            </w:r>
            <w:r>
              <w:rPr>
                <w:rFonts w:hint="eastAsia" w:ascii="宋体" w:hAnsi="宋体" w:cs="宋体"/>
                <w:kern w:val="0"/>
                <w:sz w:val="22"/>
                <w:szCs w:val="22"/>
              </w:rPr>
              <w:t>记录失信被执行人或重大税收违法案件当事人名单或政府采购严重违法失信行为记录名单；不处于中国政府采购网</w:t>
            </w:r>
            <w:r>
              <w:rPr>
                <w:rFonts w:ascii="宋体" w:hAnsi="宋体" w:cs="宋体"/>
                <w:kern w:val="0"/>
                <w:sz w:val="22"/>
                <w:szCs w:val="22"/>
              </w:rPr>
              <w:t>(www.ccgp.gov.cn)</w:t>
            </w:r>
            <w:r>
              <w:rPr>
                <w:rFonts w:hint="eastAsia" w:ascii="宋体" w:hAnsi="宋体" w:cs="宋体"/>
                <w:kern w:val="0"/>
                <w:sz w:val="22"/>
                <w:szCs w:val="22"/>
              </w:rPr>
              <w:t>政府采购严重违法失信行为信息记录中的禁止参加政府采购活动期间的方可参加本项目的投标；</w:t>
            </w:r>
          </w:p>
        </w:tc>
      </w:tr>
      <w:tr w14:paraId="3CDC9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exact"/>
          <w:jc w:val="center"/>
        </w:trPr>
        <w:tc>
          <w:tcPr>
            <w:tcW w:w="1368" w:type="dxa"/>
            <w:vMerge w:val="continue"/>
            <w:vAlign w:val="center"/>
          </w:tcPr>
          <w:p w14:paraId="3B1714D4">
            <w:pPr>
              <w:spacing w:line="280" w:lineRule="exact"/>
              <w:jc w:val="left"/>
              <w:rPr>
                <w:rFonts w:ascii="宋体"/>
                <w:kern w:val="0"/>
                <w:sz w:val="22"/>
                <w:szCs w:val="22"/>
              </w:rPr>
            </w:pPr>
          </w:p>
        </w:tc>
        <w:tc>
          <w:tcPr>
            <w:tcW w:w="2450" w:type="dxa"/>
            <w:vAlign w:val="center"/>
          </w:tcPr>
          <w:p w14:paraId="769E498C">
            <w:pPr>
              <w:spacing w:line="280" w:lineRule="exact"/>
              <w:jc w:val="left"/>
              <w:rPr>
                <w:rFonts w:ascii="宋体"/>
                <w:kern w:val="0"/>
                <w:sz w:val="22"/>
                <w:szCs w:val="22"/>
              </w:rPr>
            </w:pPr>
            <w:r>
              <w:rPr>
                <w:rFonts w:hint="eastAsia" w:ascii="宋体" w:hAnsi="宋体" w:cs="宋体"/>
                <w:kern w:val="0"/>
                <w:sz w:val="22"/>
                <w:szCs w:val="22"/>
              </w:rPr>
              <w:t>其它要求</w:t>
            </w:r>
          </w:p>
        </w:tc>
        <w:tc>
          <w:tcPr>
            <w:tcW w:w="5110" w:type="dxa"/>
            <w:vAlign w:val="center"/>
          </w:tcPr>
          <w:p w14:paraId="5A1A75A9">
            <w:pPr>
              <w:spacing w:line="280" w:lineRule="exact"/>
              <w:jc w:val="left"/>
              <w:rPr>
                <w:rFonts w:ascii="宋体"/>
                <w:kern w:val="0"/>
                <w:sz w:val="22"/>
                <w:szCs w:val="22"/>
              </w:rPr>
            </w:pPr>
            <w:r>
              <w:rPr>
                <w:rFonts w:hint="eastAsia" w:ascii="宋体" w:hAnsi="宋体" w:cs="宋体"/>
                <w:kern w:val="0"/>
                <w:sz w:val="22"/>
                <w:szCs w:val="22"/>
              </w:rPr>
              <w:t>符合</w:t>
            </w:r>
            <w:r>
              <w:rPr>
                <w:rFonts w:ascii="宋体" w:hAnsi="宋体" w:cs="宋体"/>
                <w:kern w:val="0"/>
                <w:sz w:val="22"/>
                <w:szCs w:val="22"/>
              </w:rPr>
              <w:t xml:space="preserve"> </w:t>
            </w:r>
            <w:r>
              <w:rPr>
                <w:rFonts w:hint="eastAsia" w:ascii="宋体" w:hAnsi="宋体" w:cs="宋体"/>
                <w:kern w:val="0"/>
                <w:sz w:val="22"/>
                <w:szCs w:val="22"/>
              </w:rPr>
              <w:t>“供应商须知”其它规定。</w:t>
            </w:r>
          </w:p>
        </w:tc>
      </w:tr>
    </w:tbl>
    <w:p w14:paraId="3D09B23C">
      <w:pPr>
        <w:adjustRightInd w:val="0"/>
        <w:snapToGrid w:val="0"/>
        <w:spacing w:before="240" w:line="360" w:lineRule="auto"/>
        <w:ind w:firstLine="442" w:firstLineChars="200"/>
        <w:rPr>
          <w:rFonts w:ascii="宋体"/>
          <w:sz w:val="22"/>
          <w:szCs w:val="22"/>
        </w:rPr>
      </w:pPr>
      <w:r>
        <w:rPr>
          <w:rFonts w:ascii="宋体" w:hAnsi="宋体" w:cs="宋体"/>
          <w:b/>
          <w:bCs/>
          <w:sz w:val="22"/>
          <w:szCs w:val="22"/>
        </w:rPr>
        <w:t>2.2</w:t>
      </w:r>
      <w:r>
        <w:rPr>
          <w:rFonts w:hint="eastAsia" w:ascii="宋体" w:hAnsi="宋体" w:cs="宋体"/>
          <w:b/>
          <w:bCs/>
          <w:sz w:val="22"/>
          <w:szCs w:val="22"/>
        </w:rPr>
        <w:t>符合性审查：</w:t>
      </w:r>
      <w:r>
        <w:rPr>
          <w:rFonts w:hint="eastAsia" w:ascii="宋体" w:hAnsi="宋体" w:cs="宋体"/>
          <w:sz w:val="22"/>
          <w:szCs w:val="22"/>
        </w:rPr>
        <w:t>依据《招标文件》的规定，从《投标文件》的有效性、完整性和对《招标文件》的响应程度进行审查，以确定是否对《招标文件》的实质性要求做出响应。</w:t>
      </w:r>
    </w:p>
    <w:p w14:paraId="61D7D811">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符合性审查表：</w:t>
      </w:r>
    </w:p>
    <w:tbl>
      <w:tblPr>
        <w:tblStyle w:val="46"/>
        <w:tblW w:w="8633"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66"/>
        <w:gridCol w:w="5026"/>
      </w:tblGrid>
      <w:tr w14:paraId="2ADC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vAlign w:val="top"/>
          </w:tcPr>
          <w:p w14:paraId="487A179C">
            <w:pPr>
              <w:pStyle w:val="35"/>
              <w:ind w:left="0" w:leftChars="0" w:firstLine="0" w:firstLineChars="0"/>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序号</w:t>
            </w:r>
          </w:p>
        </w:tc>
        <w:tc>
          <w:tcPr>
            <w:tcW w:w="2866" w:type="dxa"/>
            <w:tcBorders>
              <w:top w:val="single" w:color="auto" w:sz="4" w:space="0"/>
              <w:left w:val="single" w:color="auto" w:sz="4" w:space="0"/>
              <w:bottom w:val="single" w:color="auto" w:sz="4" w:space="0"/>
              <w:right w:val="single" w:color="auto" w:sz="4" w:space="0"/>
            </w:tcBorders>
            <w:vAlign w:val="top"/>
          </w:tcPr>
          <w:p w14:paraId="47C7E3AC">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内 容</w:t>
            </w:r>
          </w:p>
        </w:tc>
        <w:tc>
          <w:tcPr>
            <w:tcW w:w="5026" w:type="dxa"/>
            <w:tcBorders>
              <w:top w:val="single" w:color="auto" w:sz="4" w:space="0"/>
              <w:left w:val="single" w:color="auto" w:sz="4" w:space="0"/>
              <w:bottom w:val="single" w:color="auto" w:sz="4" w:space="0"/>
              <w:right w:val="single" w:color="auto" w:sz="4" w:space="0"/>
            </w:tcBorders>
            <w:vAlign w:val="top"/>
          </w:tcPr>
          <w:p w14:paraId="7AF90D78">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标 准</w:t>
            </w:r>
          </w:p>
        </w:tc>
      </w:tr>
      <w:tr w14:paraId="249D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1" w:type="dxa"/>
            <w:tcBorders>
              <w:top w:val="single" w:color="auto" w:sz="4" w:space="0"/>
              <w:left w:val="single" w:color="auto" w:sz="4" w:space="0"/>
              <w:bottom w:val="single" w:color="auto" w:sz="4" w:space="0"/>
              <w:right w:val="single" w:color="auto" w:sz="4" w:space="0"/>
            </w:tcBorders>
            <w:vAlign w:val="center"/>
          </w:tcPr>
          <w:p w14:paraId="2A3317EC">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1</w:t>
            </w:r>
          </w:p>
        </w:tc>
        <w:tc>
          <w:tcPr>
            <w:tcW w:w="2866" w:type="dxa"/>
            <w:tcBorders>
              <w:top w:val="single" w:color="auto" w:sz="4" w:space="0"/>
              <w:left w:val="single" w:color="auto" w:sz="4" w:space="0"/>
              <w:bottom w:val="single" w:color="auto" w:sz="4" w:space="0"/>
              <w:right w:val="single" w:color="auto" w:sz="4" w:space="0"/>
            </w:tcBorders>
            <w:vAlign w:val="center"/>
          </w:tcPr>
          <w:p w14:paraId="6C3B0FA4">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电子投标文件的</w:t>
            </w:r>
          </w:p>
          <w:p w14:paraId="0335809D">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签署、盖章</w:t>
            </w:r>
          </w:p>
        </w:tc>
        <w:tc>
          <w:tcPr>
            <w:tcW w:w="5026" w:type="dxa"/>
            <w:tcBorders>
              <w:top w:val="single" w:color="auto" w:sz="4" w:space="0"/>
              <w:left w:val="single" w:color="auto" w:sz="4" w:space="0"/>
              <w:bottom w:val="single" w:color="auto" w:sz="4" w:space="0"/>
              <w:right w:val="single" w:color="auto" w:sz="4" w:space="0"/>
            </w:tcBorders>
            <w:vAlign w:val="center"/>
          </w:tcPr>
          <w:p w14:paraId="522605F6">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是否按招标文件要求签署、盖章</w:t>
            </w:r>
          </w:p>
        </w:tc>
      </w:tr>
      <w:tr w14:paraId="264C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14:paraId="315B0DA9">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2</w:t>
            </w:r>
          </w:p>
        </w:tc>
        <w:tc>
          <w:tcPr>
            <w:tcW w:w="2866" w:type="dxa"/>
            <w:tcBorders>
              <w:top w:val="single" w:color="auto" w:sz="4" w:space="0"/>
              <w:left w:val="single" w:color="auto" w:sz="4" w:space="0"/>
              <w:bottom w:val="single" w:color="auto" w:sz="4" w:space="0"/>
              <w:right w:val="single" w:color="auto" w:sz="4" w:space="0"/>
            </w:tcBorders>
            <w:vAlign w:val="center"/>
          </w:tcPr>
          <w:p w14:paraId="6CA57C54">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投标函、商务响应表、</w:t>
            </w:r>
          </w:p>
          <w:p w14:paraId="2A8C8CE9">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技术响应表</w:t>
            </w:r>
          </w:p>
        </w:tc>
        <w:tc>
          <w:tcPr>
            <w:tcW w:w="5026" w:type="dxa"/>
            <w:tcBorders>
              <w:top w:val="single" w:color="auto" w:sz="4" w:space="0"/>
              <w:left w:val="single" w:color="auto" w:sz="4" w:space="0"/>
              <w:bottom w:val="single" w:color="auto" w:sz="4" w:space="0"/>
              <w:right w:val="single" w:color="auto" w:sz="4" w:space="0"/>
            </w:tcBorders>
            <w:vAlign w:val="center"/>
          </w:tcPr>
          <w:p w14:paraId="0FD820CA">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是否提供（如有一项不提供视为无效投标），是否按招标文件要求填写，如未按招标文件要求填写视为无效投标。</w:t>
            </w:r>
          </w:p>
        </w:tc>
      </w:tr>
      <w:tr w14:paraId="0E6F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741" w:type="dxa"/>
            <w:tcBorders>
              <w:top w:val="single" w:color="auto" w:sz="4" w:space="0"/>
              <w:left w:val="single" w:color="auto" w:sz="4" w:space="0"/>
              <w:bottom w:val="single" w:color="auto" w:sz="4" w:space="0"/>
              <w:right w:val="single" w:color="auto" w:sz="4" w:space="0"/>
            </w:tcBorders>
            <w:vAlign w:val="center"/>
          </w:tcPr>
          <w:p w14:paraId="6649B670">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3</w:t>
            </w:r>
          </w:p>
        </w:tc>
        <w:tc>
          <w:tcPr>
            <w:tcW w:w="2866" w:type="dxa"/>
            <w:tcBorders>
              <w:top w:val="single" w:color="auto" w:sz="4" w:space="0"/>
              <w:left w:val="single" w:color="auto" w:sz="4" w:space="0"/>
              <w:bottom w:val="single" w:color="auto" w:sz="4" w:space="0"/>
              <w:right w:val="single" w:color="auto" w:sz="4" w:space="0"/>
            </w:tcBorders>
            <w:vAlign w:val="center"/>
          </w:tcPr>
          <w:p w14:paraId="5C857CCF">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招标文件规定的</w:t>
            </w:r>
          </w:p>
          <w:p w14:paraId="7C00822B">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实质性条款</w:t>
            </w:r>
          </w:p>
        </w:tc>
        <w:tc>
          <w:tcPr>
            <w:tcW w:w="5026" w:type="dxa"/>
            <w:tcBorders>
              <w:top w:val="single" w:color="auto" w:sz="4" w:space="0"/>
              <w:left w:val="single" w:color="auto" w:sz="4" w:space="0"/>
              <w:bottom w:val="single" w:color="auto" w:sz="4" w:space="0"/>
              <w:right w:val="single" w:color="auto" w:sz="4" w:space="0"/>
            </w:tcBorders>
            <w:vAlign w:val="center"/>
          </w:tcPr>
          <w:p w14:paraId="15711973">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加注“●”号条款（除国家相关强制性标准外）是否实质性响应招标文件</w:t>
            </w:r>
          </w:p>
          <w:p w14:paraId="4D9C6795">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（注：如果招标文件没有设置加注“●”号的条款，则视为本项目无实质性条款，评标专家对本项不进行评审。）</w:t>
            </w:r>
          </w:p>
        </w:tc>
      </w:tr>
      <w:tr w14:paraId="53B2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41" w:type="dxa"/>
            <w:tcBorders>
              <w:top w:val="single" w:color="auto" w:sz="4" w:space="0"/>
              <w:left w:val="single" w:color="auto" w:sz="4" w:space="0"/>
              <w:bottom w:val="single" w:color="auto" w:sz="4" w:space="0"/>
              <w:right w:val="single" w:color="auto" w:sz="4" w:space="0"/>
            </w:tcBorders>
            <w:vAlign w:val="center"/>
          </w:tcPr>
          <w:p w14:paraId="121A0811">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4</w:t>
            </w:r>
          </w:p>
        </w:tc>
        <w:tc>
          <w:tcPr>
            <w:tcW w:w="2866" w:type="dxa"/>
            <w:tcBorders>
              <w:top w:val="single" w:color="auto" w:sz="4" w:space="0"/>
              <w:left w:val="single" w:color="auto" w:sz="4" w:space="0"/>
              <w:bottom w:val="single" w:color="auto" w:sz="4" w:space="0"/>
              <w:right w:val="single" w:color="auto" w:sz="4" w:space="0"/>
            </w:tcBorders>
            <w:vAlign w:val="center"/>
          </w:tcPr>
          <w:p w14:paraId="3A26A096">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国家相关强制性标准</w:t>
            </w:r>
          </w:p>
        </w:tc>
        <w:tc>
          <w:tcPr>
            <w:tcW w:w="5026" w:type="dxa"/>
            <w:tcBorders>
              <w:top w:val="single" w:color="auto" w:sz="4" w:space="0"/>
              <w:left w:val="single" w:color="auto" w:sz="4" w:space="0"/>
              <w:bottom w:val="single" w:color="auto" w:sz="4" w:space="0"/>
              <w:right w:val="single" w:color="auto" w:sz="4" w:space="0"/>
            </w:tcBorders>
            <w:vAlign w:val="center"/>
          </w:tcPr>
          <w:p w14:paraId="76FAE1C9">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投标内容是否符合国家相关强制性标准</w:t>
            </w:r>
          </w:p>
          <w:p w14:paraId="3477B3EE">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（注：如果本项目所采购标的物没有国家强制性标准，评标专家对本项不进行评审。）</w:t>
            </w:r>
          </w:p>
        </w:tc>
      </w:tr>
      <w:tr w14:paraId="2BE6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41" w:type="dxa"/>
            <w:tcBorders>
              <w:top w:val="single" w:color="auto" w:sz="4" w:space="0"/>
              <w:left w:val="single" w:color="auto" w:sz="4" w:space="0"/>
              <w:bottom w:val="single" w:color="auto" w:sz="4" w:space="0"/>
              <w:right w:val="single" w:color="auto" w:sz="4" w:space="0"/>
            </w:tcBorders>
            <w:vAlign w:val="center"/>
          </w:tcPr>
          <w:p w14:paraId="74860563">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5</w:t>
            </w:r>
          </w:p>
        </w:tc>
        <w:tc>
          <w:tcPr>
            <w:tcW w:w="2866" w:type="dxa"/>
            <w:tcBorders>
              <w:top w:val="single" w:color="auto" w:sz="4" w:space="0"/>
              <w:left w:val="single" w:color="auto" w:sz="4" w:space="0"/>
              <w:bottom w:val="single" w:color="auto" w:sz="4" w:space="0"/>
              <w:right w:val="single" w:color="auto" w:sz="4" w:space="0"/>
            </w:tcBorders>
            <w:vAlign w:val="center"/>
          </w:tcPr>
          <w:p w14:paraId="31CD6023">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采购预算或最高限价</w:t>
            </w:r>
          </w:p>
        </w:tc>
        <w:tc>
          <w:tcPr>
            <w:tcW w:w="5026" w:type="dxa"/>
            <w:tcBorders>
              <w:top w:val="single" w:color="auto" w:sz="4" w:space="0"/>
              <w:left w:val="single" w:color="auto" w:sz="4" w:space="0"/>
              <w:bottom w:val="single" w:color="auto" w:sz="4" w:space="0"/>
              <w:right w:val="single" w:color="auto" w:sz="4" w:space="0"/>
            </w:tcBorders>
            <w:vAlign w:val="center"/>
          </w:tcPr>
          <w:p w14:paraId="076E33BD">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报价是否超过招标文件中规定的预算金额或者最高限价</w:t>
            </w:r>
          </w:p>
        </w:tc>
      </w:tr>
      <w:tr w14:paraId="02BB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41" w:type="dxa"/>
            <w:tcBorders>
              <w:top w:val="single" w:color="auto" w:sz="4" w:space="0"/>
              <w:left w:val="single" w:color="auto" w:sz="4" w:space="0"/>
              <w:bottom w:val="single" w:color="auto" w:sz="4" w:space="0"/>
              <w:right w:val="single" w:color="auto" w:sz="4" w:space="0"/>
            </w:tcBorders>
            <w:vAlign w:val="center"/>
          </w:tcPr>
          <w:p w14:paraId="2269425B">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6</w:t>
            </w:r>
          </w:p>
        </w:tc>
        <w:tc>
          <w:tcPr>
            <w:tcW w:w="2866" w:type="dxa"/>
            <w:tcBorders>
              <w:top w:val="single" w:color="auto" w:sz="4" w:space="0"/>
              <w:left w:val="single" w:color="auto" w:sz="4" w:space="0"/>
              <w:bottom w:val="single" w:color="auto" w:sz="4" w:space="0"/>
              <w:right w:val="single" w:color="auto" w:sz="4" w:space="0"/>
            </w:tcBorders>
            <w:vAlign w:val="top"/>
          </w:tcPr>
          <w:p w14:paraId="452EB432">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采购人不能接受的</w:t>
            </w:r>
          </w:p>
          <w:p w14:paraId="78E784F2">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附加条件</w:t>
            </w:r>
          </w:p>
        </w:tc>
        <w:tc>
          <w:tcPr>
            <w:tcW w:w="5026" w:type="dxa"/>
            <w:tcBorders>
              <w:top w:val="single" w:color="auto" w:sz="4" w:space="0"/>
              <w:left w:val="single" w:color="auto" w:sz="4" w:space="0"/>
              <w:bottom w:val="single" w:color="auto" w:sz="4" w:space="0"/>
              <w:right w:val="single" w:color="auto" w:sz="4" w:space="0"/>
            </w:tcBorders>
            <w:vAlign w:val="top"/>
          </w:tcPr>
          <w:p w14:paraId="50D528A8">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电子投标文件是否含有采购人不能接受的附加条件</w:t>
            </w:r>
          </w:p>
        </w:tc>
      </w:tr>
      <w:tr w14:paraId="0DCE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41" w:type="dxa"/>
            <w:tcBorders>
              <w:top w:val="single" w:color="auto" w:sz="4" w:space="0"/>
              <w:left w:val="single" w:color="auto" w:sz="4" w:space="0"/>
              <w:bottom w:val="single" w:color="auto" w:sz="4" w:space="0"/>
              <w:right w:val="single" w:color="auto" w:sz="4" w:space="0"/>
            </w:tcBorders>
            <w:vAlign w:val="center"/>
          </w:tcPr>
          <w:p w14:paraId="695A9AEC">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7</w:t>
            </w:r>
          </w:p>
        </w:tc>
        <w:tc>
          <w:tcPr>
            <w:tcW w:w="2866" w:type="dxa"/>
            <w:tcBorders>
              <w:top w:val="single" w:color="auto" w:sz="4" w:space="0"/>
              <w:left w:val="single" w:color="auto" w:sz="4" w:space="0"/>
              <w:bottom w:val="single" w:color="auto" w:sz="4" w:space="0"/>
              <w:right w:val="single" w:color="auto" w:sz="4" w:space="0"/>
            </w:tcBorders>
            <w:vAlign w:val="center"/>
          </w:tcPr>
          <w:p w14:paraId="473E552E">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法律、法规和招标文件规定的其他无效情形</w:t>
            </w:r>
          </w:p>
        </w:tc>
        <w:tc>
          <w:tcPr>
            <w:tcW w:w="5026" w:type="dxa"/>
            <w:tcBorders>
              <w:top w:val="single" w:color="auto" w:sz="4" w:space="0"/>
              <w:left w:val="single" w:color="auto" w:sz="4" w:space="0"/>
              <w:bottom w:val="single" w:color="auto" w:sz="4" w:space="0"/>
              <w:right w:val="single" w:color="auto" w:sz="4" w:space="0"/>
            </w:tcBorders>
            <w:vAlign w:val="top"/>
          </w:tcPr>
          <w:p w14:paraId="1CFF0AD7">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1.不同投标人的电子投标文件是否由同一单位或者个人编制； </w:t>
            </w:r>
          </w:p>
          <w:p w14:paraId="4A96911E">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2.不同投标人是否委托同一单位或者个人办理投标事宜； </w:t>
            </w:r>
          </w:p>
          <w:p w14:paraId="47F396DA">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3.不同投标人的电子投标文件载明的项目管理成员或者联系人员是否为同一人； </w:t>
            </w:r>
          </w:p>
          <w:p w14:paraId="7B800048">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4.不同投标人的电子投标文件是否异常一致或者投标报价是否呈规律性差异； </w:t>
            </w:r>
          </w:p>
          <w:p w14:paraId="7A3DC938">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5.不同投标人的电子投标文件是否相互混装； </w:t>
            </w:r>
          </w:p>
          <w:p w14:paraId="6D8930DE">
            <w:pPr>
              <w:pStyle w:val="35"/>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6. 其他无效情形。</w:t>
            </w:r>
          </w:p>
        </w:tc>
      </w:tr>
    </w:tbl>
    <w:p w14:paraId="16F616AB">
      <w:pPr>
        <w:pStyle w:val="35"/>
        <w:ind w:left="0" w:leftChars="0" w:firstLine="0" w:firstLineChars="0"/>
        <w:rPr>
          <w:rFonts w:hint="eastAsia"/>
        </w:rPr>
      </w:pPr>
    </w:p>
    <w:p w14:paraId="310DD355"/>
    <w:p w14:paraId="6479473E">
      <w:pPr>
        <w:adjustRightInd w:val="0"/>
        <w:snapToGrid w:val="0"/>
        <w:spacing w:line="360" w:lineRule="auto"/>
        <w:ind w:firstLine="442" w:firstLineChars="200"/>
        <w:rPr>
          <w:rFonts w:ascii="宋体"/>
          <w:b/>
          <w:bCs/>
          <w:sz w:val="22"/>
          <w:szCs w:val="22"/>
        </w:rPr>
      </w:pPr>
      <w:r>
        <w:rPr>
          <w:rFonts w:ascii="宋体" w:hAnsi="宋体" w:cs="宋体"/>
          <w:b/>
          <w:bCs/>
          <w:sz w:val="22"/>
          <w:szCs w:val="22"/>
        </w:rPr>
        <w:t>3.</w:t>
      </w:r>
      <w:r>
        <w:rPr>
          <w:rFonts w:hint="eastAsia" w:ascii="宋体" w:hAnsi="宋体" w:cs="宋体"/>
          <w:b/>
          <w:bCs/>
          <w:sz w:val="22"/>
          <w:szCs w:val="22"/>
        </w:rPr>
        <w:t>详细评审：</w:t>
      </w:r>
    </w:p>
    <w:p w14:paraId="1CD63537">
      <w:pPr>
        <w:adjustRightInd w:val="0"/>
        <w:snapToGrid w:val="0"/>
        <w:spacing w:line="360" w:lineRule="auto"/>
        <w:ind w:firstLine="440" w:firstLineChars="200"/>
        <w:rPr>
          <w:rFonts w:ascii="宋体"/>
          <w:b/>
          <w:bCs/>
          <w:sz w:val="22"/>
          <w:szCs w:val="22"/>
        </w:rPr>
      </w:pPr>
      <w:r>
        <w:rPr>
          <w:rFonts w:ascii="宋体" w:hAnsi="宋体" w:cs="宋体"/>
          <w:sz w:val="22"/>
          <w:szCs w:val="22"/>
        </w:rPr>
        <w:t>3.1</w:t>
      </w:r>
      <w:r>
        <w:rPr>
          <w:rFonts w:hint="eastAsia" w:ascii="宋体" w:hAnsi="宋体" w:cs="宋体"/>
          <w:sz w:val="22"/>
          <w:szCs w:val="22"/>
        </w:rPr>
        <w:t>评标委员会将只对通过了“初审”的确定为实质上响应《招标文件》要求的《投标文件》进行详细评审。</w:t>
      </w:r>
    </w:p>
    <w:p w14:paraId="7B860A12">
      <w:pPr>
        <w:adjustRightInd w:val="0"/>
        <w:snapToGrid w:val="0"/>
        <w:spacing w:line="360" w:lineRule="auto"/>
        <w:ind w:firstLine="440" w:firstLineChars="200"/>
        <w:rPr>
          <w:rFonts w:ascii="宋体"/>
          <w:b/>
          <w:bCs/>
          <w:sz w:val="22"/>
          <w:szCs w:val="22"/>
        </w:rPr>
      </w:pPr>
      <w:r>
        <w:rPr>
          <w:rFonts w:ascii="宋体" w:hAnsi="宋体" w:cs="宋体"/>
          <w:sz w:val="22"/>
          <w:szCs w:val="22"/>
        </w:rPr>
        <w:t>3.2</w:t>
      </w:r>
      <w:r>
        <w:rPr>
          <w:rFonts w:hint="eastAsia" w:ascii="宋体" w:hAnsi="宋体" w:cs="宋体"/>
          <w:sz w:val="22"/>
          <w:szCs w:val="22"/>
        </w:rPr>
        <w:t>评标委员会要审查每份《投标文件》是否实质上响应了《招标文件》的要求。实质上响应的投标文件应该是与招标文件要求的全部条款、条件和技术参数相符。对关键条款的偏离、保留或反对将被认为是实质上的偏离。评标委员会决定评标的响应性只根据《投标文件》本身的内容，而不寻求外部的任何证据。</w:t>
      </w:r>
    </w:p>
    <w:p w14:paraId="1DD57C7F">
      <w:pPr>
        <w:adjustRightInd w:val="0"/>
        <w:snapToGrid w:val="0"/>
        <w:spacing w:line="360" w:lineRule="auto"/>
        <w:ind w:firstLine="440" w:firstLineChars="200"/>
        <w:rPr>
          <w:rFonts w:ascii="宋体"/>
          <w:b/>
          <w:bCs/>
          <w:sz w:val="22"/>
          <w:szCs w:val="22"/>
        </w:rPr>
      </w:pPr>
      <w:r>
        <w:rPr>
          <w:rFonts w:ascii="宋体" w:hAnsi="宋体" w:cs="宋体"/>
          <w:sz w:val="22"/>
          <w:szCs w:val="22"/>
          <w:lang w:val="zh-CN"/>
        </w:rPr>
        <w:t>3.3</w:t>
      </w:r>
      <w:r>
        <w:rPr>
          <w:rFonts w:hint="eastAsia" w:ascii="宋体" w:hAnsi="宋体" w:cs="宋体"/>
          <w:sz w:val="22"/>
          <w:szCs w:val="22"/>
          <w:lang w:val="zh-CN"/>
        </w:rPr>
        <w:t>对于投标文件中不构成实质性偏差的小的不正规、不一致或不规则，评标委员会可以接受。</w:t>
      </w:r>
    </w:p>
    <w:p w14:paraId="5961D6B7">
      <w:pPr>
        <w:adjustRightInd w:val="0"/>
        <w:snapToGrid w:val="0"/>
        <w:spacing w:line="360" w:lineRule="auto"/>
        <w:ind w:firstLine="440" w:firstLineChars="200"/>
        <w:rPr>
          <w:rFonts w:ascii="宋体"/>
          <w:b/>
          <w:bCs/>
          <w:sz w:val="22"/>
          <w:szCs w:val="22"/>
        </w:rPr>
      </w:pPr>
      <w:r>
        <w:rPr>
          <w:rFonts w:ascii="宋体" w:hAnsi="宋体" w:cs="宋体"/>
          <w:sz w:val="22"/>
          <w:szCs w:val="22"/>
        </w:rPr>
        <w:t>3.4</w:t>
      </w:r>
      <w:r>
        <w:rPr>
          <w:rFonts w:hint="eastAsia" w:ascii="宋体" w:hAnsi="宋体" w:cs="宋体"/>
          <w:sz w:val="22"/>
          <w:szCs w:val="22"/>
        </w:rPr>
        <w:t>评标委员会可以对确定为实质上响应招标文件要求的投标文件进行校对、审核，对出现的算术错误，由评标委员会予以改正，并让供应商澄清确认。修正计算错误按如下原则进行：</w:t>
      </w:r>
    </w:p>
    <w:p w14:paraId="36CBCF07">
      <w:pPr>
        <w:adjustRightInd w:val="0"/>
        <w:snapToGrid w:val="0"/>
        <w:spacing w:line="360" w:lineRule="auto"/>
        <w:ind w:firstLine="440" w:firstLineChars="200"/>
        <w:rPr>
          <w:rFonts w:ascii="宋体"/>
          <w:b/>
          <w:bCs/>
          <w:sz w:val="22"/>
          <w:szCs w:val="22"/>
        </w:rPr>
      </w:pPr>
      <w:r>
        <w:rPr>
          <w:rFonts w:hint="eastAsia" w:ascii="宋体" w:hAnsi="宋体" w:cs="宋体"/>
          <w:sz w:val="22"/>
          <w:szCs w:val="22"/>
        </w:rPr>
        <w:t>《投标文件》的大写金额和小写金额不一致的，以大写金额为准；总价金额与单项单价汇总金额不一致的，以单价金额计算结果为准；单价金额小数点有明显错位的，应以总价为准，并修改单价；对不同文字文本《投标文件》的解释发生异议的，以中文文本为准。</w:t>
      </w:r>
    </w:p>
    <w:p w14:paraId="64CF09AA">
      <w:pPr>
        <w:adjustRightInd w:val="0"/>
        <w:snapToGrid w:val="0"/>
        <w:spacing w:line="360" w:lineRule="auto"/>
        <w:ind w:firstLine="440" w:firstLineChars="200"/>
        <w:rPr>
          <w:rFonts w:ascii="宋体"/>
          <w:sz w:val="22"/>
          <w:szCs w:val="22"/>
        </w:rPr>
      </w:pPr>
      <w:r>
        <w:rPr>
          <w:rFonts w:hint="eastAsia" w:ascii="宋体" w:hAnsi="宋体" w:cs="宋体"/>
          <w:sz w:val="22"/>
          <w:szCs w:val="22"/>
        </w:rPr>
        <w:t>若供应商不接受对其错误的更正，其投标将被视为无效投标。</w:t>
      </w:r>
    </w:p>
    <w:p w14:paraId="453831D0">
      <w:pPr>
        <w:pStyle w:val="22"/>
        <w:numPr>
          <w:ilvl w:val="0"/>
          <w:numId w:val="11"/>
        </w:numPr>
        <w:adjustRightInd w:val="0"/>
        <w:snapToGrid w:val="0"/>
        <w:spacing w:beforeLines="50" w:line="360" w:lineRule="auto"/>
        <w:jc w:val="left"/>
        <w:rPr>
          <w:rFonts w:hAnsi="宋体" w:cs="Times New Roman"/>
          <w:b/>
          <w:bCs/>
          <w:sz w:val="22"/>
          <w:szCs w:val="22"/>
        </w:rPr>
      </w:pPr>
      <w:r>
        <w:rPr>
          <w:rFonts w:hint="eastAsia" w:hAnsi="宋体"/>
          <w:b/>
          <w:bCs/>
          <w:sz w:val="22"/>
          <w:szCs w:val="22"/>
        </w:rPr>
        <w:t>推荐中标候选人名单</w:t>
      </w:r>
    </w:p>
    <w:p w14:paraId="4E26E5E1">
      <w:pPr>
        <w:numPr>
          <w:ilvl w:val="1"/>
          <w:numId w:val="11"/>
        </w:numPr>
        <w:spacing w:line="360" w:lineRule="auto"/>
        <w:rPr>
          <w:rFonts w:ascii="宋体"/>
          <w:sz w:val="22"/>
          <w:szCs w:val="22"/>
        </w:rPr>
      </w:pPr>
      <w:r>
        <w:rPr>
          <w:rFonts w:hint="eastAsia" w:ascii="宋体" w:hAnsi="宋体" w:cs="宋体"/>
          <w:sz w:val="22"/>
          <w:szCs w:val="22"/>
        </w:rPr>
        <w:t>按评审后得分由高到低顺序排列。得分相同的，按投标报价由低到高顺序排列。得分且投标报价相同的，按技术指标优劣顺序排列。</w:t>
      </w:r>
    </w:p>
    <w:p w14:paraId="0547EAA4">
      <w:pPr>
        <w:numPr>
          <w:ilvl w:val="1"/>
          <w:numId w:val="11"/>
        </w:numPr>
        <w:spacing w:line="360" w:lineRule="auto"/>
        <w:rPr>
          <w:rFonts w:ascii="宋体"/>
          <w:sz w:val="22"/>
          <w:szCs w:val="22"/>
        </w:rPr>
      </w:pPr>
      <w:r>
        <w:rPr>
          <w:rFonts w:hint="eastAsia" w:ascii="宋体" w:hAnsi="宋体" w:cs="宋体"/>
          <w:sz w:val="22"/>
          <w:szCs w:val="22"/>
        </w:rPr>
        <w:t>各投标人最后的评标综合得分为分项得分的相加值。评标委员会按评标综合得分从高到低排序推荐中标候选人，评标综合得分高者为优，若评标综合得分相等，以价格分为优，若价格分还相等，以技术性能分高者为优。</w:t>
      </w:r>
    </w:p>
    <w:p w14:paraId="605E4D77">
      <w:pPr>
        <w:numPr>
          <w:ilvl w:val="1"/>
          <w:numId w:val="11"/>
        </w:numPr>
        <w:spacing w:line="360" w:lineRule="auto"/>
        <w:rPr>
          <w:rFonts w:ascii="宋体"/>
          <w:b/>
          <w:bCs/>
          <w:sz w:val="22"/>
          <w:szCs w:val="22"/>
        </w:rPr>
      </w:pPr>
      <w:r>
        <w:rPr>
          <w:rFonts w:hint="eastAsia" w:ascii="宋体" w:hAnsi="宋体" w:cs="宋体"/>
          <w:sz w:val="22"/>
          <w:szCs w:val="22"/>
        </w:rPr>
        <w:t>评标委员会按照评分结果进行排名，第一名为中标单位，如第一名因其他原因无法正常履行合同的，由采购单位重新组织采购活动。</w:t>
      </w:r>
    </w:p>
    <w:p w14:paraId="38B55EC6">
      <w:pPr>
        <w:pStyle w:val="22"/>
        <w:numPr>
          <w:ilvl w:val="0"/>
          <w:numId w:val="11"/>
        </w:numPr>
        <w:adjustRightInd w:val="0"/>
        <w:snapToGrid w:val="0"/>
        <w:spacing w:beforeLines="50" w:line="360" w:lineRule="auto"/>
        <w:jc w:val="left"/>
        <w:rPr>
          <w:rFonts w:hAnsi="宋体" w:cs="Times New Roman"/>
          <w:b/>
          <w:bCs/>
          <w:sz w:val="22"/>
          <w:szCs w:val="22"/>
        </w:rPr>
      </w:pPr>
      <w:r>
        <w:rPr>
          <w:rFonts w:hint="eastAsia" w:hAnsi="宋体"/>
          <w:b/>
          <w:bCs/>
          <w:sz w:val="22"/>
          <w:szCs w:val="22"/>
        </w:rPr>
        <w:t>编写评标报告</w:t>
      </w:r>
    </w:p>
    <w:p w14:paraId="7C6EF0E3">
      <w:pPr>
        <w:spacing w:line="360" w:lineRule="auto"/>
        <w:ind w:left="425"/>
        <w:rPr>
          <w:rFonts w:ascii="宋体"/>
          <w:color w:val="000000"/>
          <w:kern w:val="0"/>
          <w:sz w:val="22"/>
          <w:szCs w:val="22"/>
        </w:rPr>
      </w:pPr>
      <w:r>
        <w:rPr>
          <w:rFonts w:hint="eastAsia" w:ascii="宋体" w:hAnsi="宋体" w:cs="宋体"/>
          <w:sz w:val="22"/>
          <w:szCs w:val="22"/>
        </w:rPr>
        <w:t>评标报告是评标委员会根据全体评标成员签字的原始评标记录和评标结果编写的</w:t>
      </w:r>
      <w:r>
        <w:rPr>
          <w:rFonts w:hint="eastAsia" w:ascii="宋体" w:hAnsi="宋体" w:cs="宋体"/>
          <w:color w:val="000000"/>
          <w:sz w:val="22"/>
          <w:szCs w:val="22"/>
        </w:rPr>
        <w:t>报告</w:t>
      </w:r>
      <w:r>
        <w:rPr>
          <w:rFonts w:hint="eastAsia" w:ascii="宋体" w:hAnsi="宋体" w:cs="宋体"/>
          <w:color w:val="000000"/>
          <w:kern w:val="0"/>
          <w:sz w:val="22"/>
          <w:szCs w:val="22"/>
        </w:rPr>
        <w:t>。</w:t>
      </w:r>
      <w:r>
        <w:rPr>
          <w:rFonts w:ascii="宋体" w:hAnsi="宋体" w:cs="宋体"/>
          <w:color w:val="000000"/>
          <w:kern w:val="0"/>
          <w:sz w:val="22"/>
          <w:szCs w:val="22"/>
        </w:rPr>
        <w:t xml:space="preserve"> </w:t>
      </w:r>
    </w:p>
    <w:p w14:paraId="245ADD32">
      <w:pPr>
        <w:pStyle w:val="44"/>
        <w:spacing w:line="360" w:lineRule="auto"/>
        <w:ind w:firstLine="0" w:firstLineChars="0"/>
        <w:rPr>
          <w:rFonts w:ascii="宋体" w:hAnsi="宋体" w:eastAsia="宋体"/>
          <w:sz w:val="22"/>
          <w:szCs w:val="22"/>
        </w:rPr>
      </w:pPr>
    </w:p>
    <w:bookmarkEnd w:id="49"/>
    <w:bookmarkEnd w:id="50"/>
    <w:p w14:paraId="18E49CCA">
      <w:pPr>
        <w:pageBreakBefore/>
        <w:numPr>
          <w:ilvl w:val="0"/>
          <w:numId w:val="8"/>
        </w:numPr>
        <w:spacing w:line="640" w:lineRule="exact"/>
        <w:jc w:val="center"/>
        <w:outlineLvl w:val="0"/>
        <w:rPr>
          <w:rFonts w:ascii="宋体"/>
          <w:b/>
          <w:bCs/>
          <w:kern w:val="0"/>
          <w:sz w:val="36"/>
          <w:szCs w:val="36"/>
        </w:rPr>
      </w:pPr>
      <w:bookmarkStart w:id="68" w:name="_Toc241"/>
      <w:bookmarkStart w:id="69" w:name="_Toc28390"/>
      <w:bookmarkStart w:id="70" w:name="_Toc13880"/>
      <w:bookmarkStart w:id="71" w:name="_Toc14506"/>
      <w:bookmarkStart w:id="72" w:name="_Toc21016"/>
      <w:bookmarkStart w:id="73" w:name="_Toc274816744"/>
      <w:bookmarkStart w:id="74" w:name="_Toc229198098"/>
      <w:r>
        <w:rPr>
          <w:rFonts w:hint="eastAsia" w:ascii="宋体" w:hAnsi="宋体" w:cs="宋体"/>
          <w:b/>
          <w:bCs/>
          <w:kern w:val="0"/>
          <w:sz w:val="36"/>
          <w:szCs w:val="36"/>
        </w:rPr>
        <w:t>投标文件格式</w:t>
      </w:r>
      <w:bookmarkEnd w:id="68"/>
      <w:bookmarkEnd w:id="69"/>
      <w:bookmarkEnd w:id="70"/>
      <w:bookmarkEnd w:id="71"/>
      <w:bookmarkEnd w:id="72"/>
      <w:bookmarkStart w:id="75" w:name="_Toc10061"/>
    </w:p>
    <w:p w14:paraId="3E1AFB47">
      <w:pPr>
        <w:spacing w:line="640" w:lineRule="exact"/>
        <w:jc w:val="center"/>
        <w:outlineLvl w:val="2"/>
        <w:rPr>
          <w:rFonts w:ascii="宋体"/>
          <w:sz w:val="28"/>
          <w:szCs w:val="28"/>
        </w:rPr>
      </w:pPr>
      <w:bookmarkStart w:id="76" w:name="_Toc13008"/>
      <w:bookmarkStart w:id="77" w:name="_Toc27970"/>
      <w:r>
        <w:rPr>
          <w:rFonts w:hint="eastAsia" w:ascii="宋体" w:hAnsi="宋体" w:cs="宋体"/>
          <w:sz w:val="28"/>
          <w:szCs w:val="28"/>
        </w:rPr>
        <w:t>一、投标文件封面</w:t>
      </w:r>
      <w:bookmarkEnd w:id="75"/>
      <w:bookmarkEnd w:id="76"/>
      <w:bookmarkEnd w:id="77"/>
    </w:p>
    <w:p w14:paraId="28CD8D42">
      <w:pPr>
        <w:spacing w:before="111" w:line="185" w:lineRule="auto"/>
        <w:ind w:firstLine="3579"/>
        <w:rPr>
          <w:rFonts w:ascii="宋体"/>
          <w:spacing w:val="-2"/>
          <w:sz w:val="34"/>
          <w:szCs w:val="34"/>
        </w:rPr>
      </w:pPr>
    </w:p>
    <w:p w14:paraId="60517669">
      <w:pPr>
        <w:spacing w:before="111" w:line="185" w:lineRule="auto"/>
        <w:ind w:firstLine="3579"/>
        <w:rPr>
          <w:rFonts w:ascii="宋体"/>
          <w:sz w:val="36"/>
          <w:szCs w:val="36"/>
        </w:rPr>
      </w:pPr>
      <w:r>
        <w:rPr>
          <w:rFonts w:ascii="宋体" w:hAnsi="宋体" w:cs="宋体"/>
          <w:spacing w:val="-2"/>
          <w:sz w:val="36"/>
          <w:szCs w:val="36"/>
        </w:rPr>
        <w:t>XXX</w:t>
      </w:r>
      <w:r>
        <w:rPr>
          <w:rFonts w:hint="eastAsia" w:ascii="宋体" w:hAnsi="宋体" w:cs="宋体"/>
          <w:spacing w:val="-2"/>
          <w:sz w:val="36"/>
          <w:szCs w:val="36"/>
        </w:rPr>
        <w:t>项目</w:t>
      </w:r>
    </w:p>
    <w:p w14:paraId="0170E5AF">
      <w:pPr>
        <w:spacing w:line="255" w:lineRule="auto"/>
        <w:rPr>
          <w:rFonts w:ascii="宋体"/>
          <w:sz w:val="22"/>
          <w:szCs w:val="22"/>
        </w:rPr>
      </w:pPr>
    </w:p>
    <w:p w14:paraId="3FE5BCD5">
      <w:pPr>
        <w:spacing w:line="255" w:lineRule="auto"/>
        <w:rPr>
          <w:rFonts w:ascii="宋体"/>
          <w:sz w:val="22"/>
          <w:szCs w:val="22"/>
        </w:rPr>
      </w:pPr>
    </w:p>
    <w:p w14:paraId="3AAF8A3C">
      <w:pPr>
        <w:spacing w:line="255" w:lineRule="auto"/>
        <w:rPr>
          <w:rFonts w:ascii="宋体"/>
          <w:sz w:val="22"/>
          <w:szCs w:val="22"/>
        </w:rPr>
      </w:pPr>
    </w:p>
    <w:p w14:paraId="775273B6">
      <w:pPr>
        <w:keepNext/>
        <w:keepLines/>
        <w:widowControl w:val="0"/>
        <w:numPr>
          <w:ilvl w:val="0"/>
          <w:numId w:val="0"/>
        </w:numPr>
        <w:spacing w:before="0" w:after="0" w:line="24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bookmarkStart w:id="78" w:name="_Toc387653043"/>
      <w:bookmarkStart w:id="79" w:name="_Toc383155944"/>
      <w:bookmarkStart w:id="80" w:name="_Toc18291"/>
      <w:bookmarkStart w:id="81" w:name="_Toc9989"/>
      <w:bookmarkStart w:id="82" w:name="_Toc8222"/>
      <w:bookmarkStart w:id="83" w:name="_Toc380742995"/>
      <w:r>
        <w:rPr>
          <w:rFonts w:hint="eastAsia" w:ascii="宋体" w:hAnsi="Times New Roman" w:eastAsia="宋体" w:cs="Times New Roman"/>
          <w:b/>
          <w:color w:val="auto"/>
          <w:kern w:val="0"/>
          <w:sz w:val="28"/>
          <w:szCs w:val="28"/>
          <w:highlight w:val="none"/>
          <w:lang w:val="en-US" w:eastAsia="zh-CN" w:bidi="ar-SA"/>
        </w:rPr>
        <w:t>项目编号：</w:t>
      </w:r>
    </w:p>
    <w:p w14:paraId="187FA099">
      <w:pPr>
        <w:keepNext/>
        <w:keepLines/>
        <w:widowControl w:val="0"/>
        <w:numPr>
          <w:ilvl w:val="0"/>
          <w:numId w:val="0"/>
        </w:numPr>
        <w:spacing w:before="0" w:after="0" w:line="36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r>
        <w:rPr>
          <w:rFonts w:hint="eastAsia" w:ascii="宋体" w:hAnsi="Times New Roman" w:eastAsia="宋体" w:cs="Times New Roman"/>
          <w:b/>
          <w:color w:val="auto"/>
          <w:kern w:val="0"/>
          <w:sz w:val="28"/>
          <w:szCs w:val="28"/>
          <w:highlight w:val="none"/>
          <w:lang w:val="en-US" w:eastAsia="zh-CN" w:bidi="ar-SA"/>
        </w:rPr>
        <w:t>包  号：</w:t>
      </w:r>
    </w:p>
    <w:p w14:paraId="53C57DE1">
      <w:pPr>
        <w:keepNext/>
        <w:keepLines/>
        <w:widowControl w:val="0"/>
        <w:numPr>
          <w:ilvl w:val="0"/>
          <w:numId w:val="0"/>
        </w:numPr>
        <w:spacing w:before="0" w:after="0" w:line="36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r>
        <w:rPr>
          <w:rFonts w:hint="eastAsia" w:ascii="宋体" w:hAnsi="Times New Roman" w:eastAsia="宋体" w:cs="Times New Roman"/>
          <w:b/>
          <w:color w:val="auto"/>
          <w:kern w:val="0"/>
          <w:sz w:val="28"/>
          <w:szCs w:val="28"/>
          <w:highlight w:val="none"/>
          <w:lang w:val="en-US" w:eastAsia="zh-CN" w:bidi="ar-SA"/>
        </w:rPr>
        <w:t>采购人：</w:t>
      </w:r>
    </w:p>
    <w:p w14:paraId="44C6329C">
      <w:pPr>
        <w:keepNext/>
        <w:keepLines/>
        <w:widowControl w:val="0"/>
        <w:numPr>
          <w:ilvl w:val="0"/>
          <w:numId w:val="0"/>
        </w:numPr>
        <w:spacing w:before="0" w:after="0" w:line="36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r>
        <w:rPr>
          <w:rFonts w:hint="eastAsia" w:ascii="宋体" w:hAnsi="Times New Roman" w:eastAsia="宋体" w:cs="Times New Roman"/>
          <w:b/>
          <w:color w:val="auto"/>
          <w:kern w:val="0"/>
          <w:sz w:val="28"/>
          <w:szCs w:val="28"/>
          <w:highlight w:val="none"/>
          <w:lang w:val="en-US" w:eastAsia="zh-CN" w:bidi="ar-SA"/>
        </w:rPr>
        <w:t>代理机构：</w:t>
      </w:r>
    </w:p>
    <w:p w14:paraId="629E0805">
      <w:pPr>
        <w:spacing w:beforeLines="30" w:afterLines="70" w:line="540" w:lineRule="exact"/>
        <w:ind w:left="630" w:leftChars="300"/>
        <w:outlineLvl w:val="9"/>
        <w:rPr>
          <w:rFonts w:hint="eastAsia"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 xml:space="preserve"> </w:t>
      </w:r>
    </w:p>
    <w:p w14:paraId="276FE41B">
      <w:pPr>
        <w:numPr>
          <w:ilvl w:val="0"/>
          <w:numId w:val="0"/>
        </w:numPr>
        <w:spacing w:beforeLines="30" w:afterLines="70" w:line="540" w:lineRule="exact"/>
        <w:ind w:leftChars="0"/>
        <w:outlineLvl w:val="9"/>
        <w:rPr>
          <w:rFonts w:ascii="黑体" w:hAnsi="黑体" w:eastAsia="黑体" w:cs="黑体"/>
          <w:b/>
          <w:color w:val="auto"/>
          <w:kern w:val="2"/>
          <w:sz w:val="40"/>
          <w:szCs w:val="40"/>
          <w:highlight w:val="none"/>
        </w:rPr>
      </w:pPr>
      <w:r>
        <w:rPr>
          <w:rFonts w:hint="eastAsia" w:ascii="宋体" w:hAnsi="Times New Roman" w:cs="Times New Roman"/>
          <w:b/>
          <w:color w:val="auto"/>
          <w:kern w:val="0"/>
          <w:sz w:val="28"/>
          <w:szCs w:val="28"/>
          <w:highlight w:val="none"/>
        </w:rPr>
        <w:t>投标人名称：（加盖公章）</w:t>
      </w:r>
    </w:p>
    <w:p w14:paraId="74BD4C8D">
      <w:pPr>
        <w:numPr>
          <w:ilvl w:val="0"/>
          <w:numId w:val="0"/>
        </w:numPr>
        <w:spacing w:line="240" w:lineRule="auto"/>
        <w:ind w:leftChars="0"/>
        <w:outlineLvl w:val="9"/>
        <w:rPr>
          <w:rFonts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投标人详细地址：</w:t>
      </w:r>
    </w:p>
    <w:p w14:paraId="14C61C96">
      <w:pPr>
        <w:numPr>
          <w:ilvl w:val="0"/>
          <w:numId w:val="0"/>
        </w:numPr>
        <w:spacing w:beforeLines="30" w:afterLines="70" w:line="540" w:lineRule="exact"/>
        <w:ind w:leftChars="0"/>
        <w:outlineLvl w:val="9"/>
        <w:rPr>
          <w:rFonts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投标人联系电话：</w:t>
      </w:r>
    </w:p>
    <w:p w14:paraId="742DC91B">
      <w:pPr>
        <w:numPr>
          <w:ilvl w:val="0"/>
          <w:numId w:val="0"/>
        </w:numPr>
        <w:spacing w:beforeLines="30" w:afterLines="70" w:line="540" w:lineRule="exact"/>
        <w:ind w:leftChars="0"/>
        <w:outlineLvl w:val="9"/>
        <w:rPr>
          <w:rFonts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投标人统一的社会信用代码</w:t>
      </w:r>
      <w:r>
        <w:rPr>
          <w:rFonts w:hint="eastAsia" w:ascii="黑体" w:hAnsi="黑体" w:eastAsia="黑体" w:cs="黑体"/>
          <w:b/>
          <w:color w:val="auto"/>
          <w:kern w:val="2"/>
          <w:sz w:val="40"/>
          <w:szCs w:val="40"/>
          <w:highlight w:val="none"/>
        </w:rPr>
        <w:t>：</w:t>
      </w:r>
    </w:p>
    <w:p w14:paraId="0BB396EB">
      <w:pPr>
        <w:spacing w:beforeLines="30" w:afterLines="70" w:line="540" w:lineRule="exact"/>
        <w:ind w:left="630" w:leftChars="300"/>
        <w:jc w:val="center"/>
        <w:outlineLvl w:val="9"/>
        <w:rPr>
          <w:rFonts w:hint="eastAsia" w:ascii="宋体" w:hAnsi="Times New Roman" w:cs="Times New Roman"/>
          <w:b/>
          <w:color w:val="auto"/>
          <w:kern w:val="0"/>
          <w:sz w:val="28"/>
          <w:szCs w:val="28"/>
          <w:highlight w:val="none"/>
        </w:rPr>
      </w:pPr>
    </w:p>
    <w:p w14:paraId="11636C06">
      <w:pPr>
        <w:spacing w:beforeLines="30" w:afterLines="70" w:line="540" w:lineRule="exact"/>
        <w:ind w:left="630" w:leftChars="300"/>
        <w:jc w:val="center"/>
        <w:outlineLvl w:val="9"/>
        <w:rPr>
          <w:rFonts w:hint="eastAsia"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投标日期：   年   月   日</w:t>
      </w:r>
    </w:p>
    <w:p w14:paraId="4D701E37">
      <w:pPr>
        <w:spacing w:before="68" w:line="184" w:lineRule="auto"/>
        <w:jc w:val="left"/>
        <w:outlineLvl w:val="9"/>
        <w:rPr>
          <w:rFonts w:hint="eastAsia" w:ascii="宋体" w:hAnsi="宋体" w:cs="宋体"/>
          <w:spacing w:val="-2"/>
          <w:sz w:val="24"/>
          <w:szCs w:val="24"/>
        </w:rPr>
      </w:pPr>
    </w:p>
    <w:p w14:paraId="5B08D8C5">
      <w:pPr>
        <w:spacing w:before="68" w:line="184" w:lineRule="auto"/>
        <w:jc w:val="left"/>
        <w:outlineLvl w:val="9"/>
        <w:rPr>
          <w:rFonts w:ascii="宋体"/>
          <w:sz w:val="24"/>
          <w:szCs w:val="24"/>
        </w:rPr>
      </w:pPr>
      <w:r>
        <w:rPr>
          <w:rFonts w:hint="eastAsia" w:ascii="宋体" w:hAnsi="宋体" w:cs="宋体"/>
          <w:spacing w:val="-2"/>
          <w:sz w:val="24"/>
          <w:szCs w:val="24"/>
        </w:rPr>
        <w:t>供应商郑重承诺：</w:t>
      </w:r>
    </w:p>
    <w:p w14:paraId="5491AA3D">
      <w:pPr>
        <w:spacing w:line="640" w:lineRule="exact"/>
        <w:jc w:val="left"/>
        <w:outlineLvl w:val="9"/>
        <w:rPr>
          <w:rFonts w:hint="eastAsia" w:ascii="宋体" w:hAnsi="宋体" w:cs="宋体"/>
          <w:spacing w:val="-1"/>
          <w:position w:val="14"/>
          <w:sz w:val="24"/>
          <w:szCs w:val="24"/>
        </w:rPr>
      </w:pPr>
      <w:r>
        <w:rPr>
          <w:rFonts w:ascii="宋体"/>
          <w:sz w:val="24"/>
          <w:szCs w:val="24"/>
        </w:rPr>
        <w:tab/>
      </w:r>
      <w:r>
        <w:rPr>
          <w:rFonts w:ascii="宋体" w:hAnsi="宋体" w:cs="宋体"/>
          <w:sz w:val="24"/>
          <w:szCs w:val="24"/>
        </w:rPr>
        <w:t xml:space="preserve">    </w:t>
      </w:r>
      <w:r>
        <w:rPr>
          <w:rFonts w:hint="eastAsia" w:ascii="宋体" w:hAnsi="宋体" w:cs="宋体"/>
          <w:spacing w:val="-1"/>
          <w:position w:val="14"/>
          <w:sz w:val="24"/>
          <w:szCs w:val="24"/>
        </w:rPr>
        <w:t>对本卷所提供资料的真实性、准确性、有效性负全部责任。</w:t>
      </w:r>
    </w:p>
    <w:bookmarkEnd w:id="78"/>
    <w:bookmarkEnd w:id="79"/>
    <w:bookmarkEnd w:id="80"/>
    <w:bookmarkEnd w:id="81"/>
    <w:bookmarkEnd w:id="82"/>
    <w:bookmarkEnd w:id="83"/>
    <w:p w14:paraId="393625AA">
      <w:pPr>
        <w:keepNext w:val="0"/>
        <w:keepLines w:val="0"/>
        <w:pageBreakBefore/>
        <w:widowControl w:val="0"/>
        <w:kinsoku/>
        <w:wordWrap/>
        <w:overflowPunct/>
        <w:topLinePunct w:val="0"/>
        <w:autoSpaceDE/>
        <w:autoSpaceDN/>
        <w:bidi w:val="0"/>
        <w:adjustRightInd/>
        <w:snapToGrid/>
        <w:spacing w:before="0" w:after="0" w:line="360" w:lineRule="auto"/>
        <w:jc w:val="center"/>
        <w:textAlignment w:val="auto"/>
        <w:outlineLvl w:val="2"/>
        <w:rPr>
          <w:rFonts w:ascii="宋体" w:hAnsi="宋体" w:eastAsia="宋体"/>
          <w:color w:val="auto"/>
          <w:szCs w:val="28"/>
          <w:highlight w:val="none"/>
        </w:rPr>
      </w:pPr>
      <w:bookmarkStart w:id="84" w:name="_Toc5807"/>
      <w:bookmarkStart w:id="85" w:name="_Toc19423"/>
      <w:bookmarkStart w:id="86" w:name="_Toc13151"/>
      <w:bookmarkStart w:id="87" w:name="_Toc385671123"/>
      <w:r>
        <w:rPr>
          <w:rFonts w:hint="eastAsia" w:ascii="宋体" w:hAnsi="宋体" w:cs="宋体"/>
          <w:b w:val="0"/>
          <w:bCs w:val="0"/>
          <w:kern w:val="2"/>
          <w:sz w:val="28"/>
          <w:szCs w:val="28"/>
          <w:lang w:val="en-US" w:eastAsia="zh-CN"/>
        </w:rPr>
        <w:t>二</w:t>
      </w:r>
      <w:r>
        <w:rPr>
          <w:rFonts w:hint="eastAsia" w:ascii="宋体" w:hAnsi="宋体" w:cs="宋体"/>
          <w:b w:val="0"/>
          <w:bCs w:val="0"/>
          <w:kern w:val="2"/>
          <w:sz w:val="28"/>
          <w:szCs w:val="28"/>
        </w:rPr>
        <w:t>、</w:t>
      </w:r>
      <w:bookmarkEnd w:id="84"/>
      <w:bookmarkEnd w:id="85"/>
      <w:bookmarkEnd w:id="86"/>
      <w:bookmarkEnd w:id="87"/>
      <w:r>
        <w:rPr>
          <w:rFonts w:hint="eastAsia" w:ascii="宋体" w:hAnsi="宋体" w:eastAsia="宋体" w:cs="宋体"/>
          <w:b w:val="0"/>
          <w:bCs w:val="0"/>
          <w:kern w:val="2"/>
          <w:sz w:val="28"/>
          <w:szCs w:val="28"/>
          <w:lang w:val="en-US" w:eastAsia="zh-CN" w:bidi="ar-SA"/>
        </w:rPr>
        <w:t>投 标 函</w:t>
      </w:r>
    </w:p>
    <w:p w14:paraId="6659D82E">
      <w:pPr>
        <w:pStyle w:val="25"/>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Ansi="宋体"/>
          <w:bCs/>
          <w:color w:val="auto"/>
          <w:sz w:val="22"/>
          <w:szCs w:val="22"/>
          <w:highlight w:val="none"/>
        </w:rPr>
      </w:pPr>
      <w:r>
        <w:rPr>
          <w:rFonts w:hint="eastAsia" w:hAnsi="宋体"/>
          <w:bCs/>
          <w:color w:val="auto"/>
          <w:sz w:val="22"/>
          <w:szCs w:val="22"/>
          <w:highlight w:val="none"/>
        </w:rPr>
        <w:t>__________________（采购人名称）：</w:t>
      </w:r>
    </w:p>
    <w:p w14:paraId="1482A451">
      <w:pPr>
        <w:pStyle w:val="2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 xml:space="preserve">我方全面研究了 </w:t>
      </w:r>
      <w:r>
        <w:rPr>
          <w:rFonts w:hint="eastAsia" w:hAnsi="宋体"/>
          <w:bCs/>
          <w:color w:val="auto"/>
          <w:sz w:val="22"/>
          <w:szCs w:val="22"/>
          <w:highlight w:val="none"/>
          <w:u w:val="single"/>
          <w:lang w:val="en-US" w:eastAsia="zh-CN"/>
        </w:rPr>
        <w:t xml:space="preserve">    </w:t>
      </w:r>
      <w:r>
        <w:rPr>
          <w:rFonts w:hint="default" w:hAnsi="宋体"/>
          <w:bCs/>
          <w:color w:val="auto"/>
          <w:sz w:val="22"/>
          <w:szCs w:val="22"/>
          <w:highlight w:val="none"/>
          <w:u w:val="single"/>
          <w:lang w:val="en" w:eastAsia="zh-CN"/>
        </w:rPr>
        <w:t>（</w:t>
      </w:r>
      <w:r>
        <w:rPr>
          <w:rFonts w:hint="eastAsia" w:hAnsi="宋体"/>
          <w:bCs/>
          <w:color w:val="auto"/>
          <w:sz w:val="22"/>
          <w:szCs w:val="22"/>
          <w:highlight w:val="none"/>
          <w:u w:val="single"/>
          <w:lang w:val="en-US" w:eastAsia="zh-CN"/>
        </w:rPr>
        <w:t>项目名称</w:t>
      </w:r>
      <w:r>
        <w:rPr>
          <w:rFonts w:hint="default" w:hAnsi="宋体"/>
          <w:bCs/>
          <w:color w:val="auto"/>
          <w:sz w:val="22"/>
          <w:szCs w:val="22"/>
          <w:highlight w:val="none"/>
          <w:u w:val="single"/>
          <w:lang w:val="en" w:eastAsia="zh-CN"/>
        </w:rPr>
        <w:t>）</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招标文件（</w:t>
      </w:r>
      <w:r>
        <w:rPr>
          <w:rFonts w:hint="eastAsia" w:hAnsi="宋体"/>
          <w:bCs/>
          <w:color w:val="auto"/>
          <w:sz w:val="22"/>
          <w:szCs w:val="22"/>
          <w:highlight w:val="none"/>
          <w:u w:val="single"/>
          <w:lang w:val="en-US" w:eastAsia="zh-CN"/>
        </w:rPr>
        <w:t xml:space="preserve">  项目</w:t>
      </w:r>
      <w:r>
        <w:rPr>
          <w:rFonts w:hint="eastAsia" w:hAnsi="宋体"/>
          <w:bCs/>
          <w:color w:val="auto"/>
          <w:sz w:val="22"/>
          <w:szCs w:val="22"/>
          <w:highlight w:val="none"/>
          <w:u w:val="single"/>
        </w:rPr>
        <w:t>编号</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），决定参加贵单位组织的本项目投标。我方授权</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u w:val="single"/>
        </w:rPr>
        <w:t>（姓名、职务）</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代表我方</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u w:val="single"/>
        </w:rPr>
        <w:t>投标</w:t>
      </w:r>
      <w:r>
        <w:rPr>
          <w:rFonts w:hint="eastAsia" w:hAnsi="宋体"/>
          <w:bCs/>
          <w:color w:val="auto"/>
          <w:sz w:val="22"/>
          <w:szCs w:val="22"/>
          <w:highlight w:val="none"/>
          <w:u w:val="single"/>
          <w:lang w:eastAsia="zh-CN"/>
        </w:rPr>
        <w:t>人</w:t>
      </w:r>
      <w:r>
        <w:rPr>
          <w:rFonts w:hint="eastAsia" w:hAnsi="宋体"/>
          <w:bCs/>
          <w:color w:val="auto"/>
          <w:sz w:val="22"/>
          <w:szCs w:val="22"/>
          <w:highlight w:val="none"/>
          <w:u w:val="single"/>
        </w:rPr>
        <w:t>名称</w:t>
      </w:r>
      <w:r>
        <w:rPr>
          <w:rFonts w:hint="eastAsia" w:hAnsi="宋体"/>
          <w:bCs/>
          <w:color w:val="auto"/>
          <w:sz w:val="22"/>
          <w:szCs w:val="22"/>
          <w:highlight w:val="none"/>
          <w:u w:val="single"/>
          <w:lang w:eastAsia="zh-CN"/>
        </w:rPr>
        <w:t>）</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全权处理本项目投标的有关事宜。</w:t>
      </w:r>
    </w:p>
    <w:p w14:paraId="1D888E98">
      <w:pPr>
        <w:pStyle w:val="2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1</w:t>
      </w:r>
      <w:r>
        <w:rPr>
          <w:rFonts w:hint="eastAsia" w:hAnsi="宋体"/>
          <w:b/>
          <w:color w:val="auto"/>
          <w:kern w:val="2"/>
          <w:sz w:val="22"/>
          <w:szCs w:val="22"/>
          <w:highlight w:val="none"/>
        </w:rPr>
        <w:t>.</w:t>
      </w:r>
      <w:r>
        <w:rPr>
          <w:rFonts w:hint="eastAsia" w:hAnsi="宋体"/>
          <w:bCs/>
          <w:color w:val="auto"/>
          <w:sz w:val="22"/>
          <w:szCs w:val="22"/>
          <w:highlight w:val="none"/>
        </w:rPr>
        <w:t>我方自愿按照招标文件规定的各项要求向采购人提供所需货物/服务，总投标价为人民币</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万元（大写：</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w:t>
      </w:r>
    </w:p>
    <w:p w14:paraId="34EB2C96">
      <w:pPr>
        <w:pStyle w:val="2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2.一旦我方中标，我方将严格履行合同规定的责任和义务，保证于合同签字生效后</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日内完成</w:t>
      </w:r>
      <w:r>
        <w:rPr>
          <w:rFonts w:hint="eastAsia" w:hAnsi="宋体"/>
          <w:bCs/>
          <w:color w:val="auto"/>
          <w:sz w:val="22"/>
          <w:szCs w:val="22"/>
          <w:highlight w:val="none"/>
          <w:lang w:eastAsia="zh-CN"/>
        </w:rPr>
        <w:t>所采购标的物</w:t>
      </w:r>
      <w:r>
        <w:rPr>
          <w:rFonts w:hint="eastAsia" w:hAnsi="宋体"/>
          <w:bCs/>
          <w:color w:val="auto"/>
          <w:sz w:val="22"/>
          <w:szCs w:val="22"/>
          <w:highlight w:val="none"/>
        </w:rPr>
        <w:t>的安装、调试，并交付采购人验收、使用。</w:t>
      </w:r>
    </w:p>
    <w:p w14:paraId="50804E0A">
      <w:pPr>
        <w:adjustRightInd w:val="0"/>
        <w:snapToGrid w:val="0"/>
        <w:spacing w:before="120" w:beforeLines="50" w:line="360" w:lineRule="auto"/>
        <w:ind w:firstLine="440" w:firstLineChars="200"/>
        <w:rPr>
          <w:rFonts w:hint="eastAsia" w:ascii="Times New Roman" w:hAnsi="宋体" w:eastAsia="宋体" w:cs="Times New Roman"/>
          <w:bCs/>
          <w:color w:val="auto"/>
          <w:kern w:val="2"/>
          <w:sz w:val="22"/>
          <w:szCs w:val="22"/>
          <w:highlight w:val="none"/>
          <w:lang w:val="en-US" w:eastAsia="zh-CN" w:bidi="ar-SA"/>
        </w:rPr>
      </w:pPr>
      <w:r>
        <w:rPr>
          <w:rFonts w:hint="eastAsia" w:hAnsi="宋体"/>
          <w:bCs/>
          <w:color w:val="auto"/>
          <w:sz w:val="22"/>
          <w:szCs w:val="22"/>
          <w:highlight w:val="none"/>
        </w:rPr>
        <w:t>3.</w:t>
      </w:r>
      <w:r>
        <w:rPr>
          <w:rFonts w:hint="eastAsia" w:ascii="Times New Roman" w:hAnsi="宋体" w:eastAsia="宋体" w:cs="Times New Roman"/>
          <w:bCs/>
          <w:color w:val="auto"/>
          <w:kern w:val="2"/>
          <w:sz w:val="22"/>
          <w:szCs w:val="22"/>
          <w:highlight w:val="none"/>
          <w:lang w:val="en-US" w:eastAsia="zh-CN" w:bidi="ar-SA"/>
        </w:rPr>
        <w:t>我方同意本投标有效期为自开标日后   天。我方承诺严格遵守《中华人民共和国政府采购法》和《中华人民共和国政府采购法实施条例》，不会发生《政府采购法》第七十七条所列情形和《政府采购法实施条例》第七十二条所列情形，不会在投标有效期内撤回投标文件。如果在此期间内撤回投标或放弃中标资格，给贵方造成的损失我方进行赔偿。</w:t>
      </w:r>
    </w:p>
    <w:p w14:paraId="5B83E29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color w:val="auto"/>
          <w:sz w:val="22"/>
          <w:szCs w:val="20"/>
          <w:highlight w:val="none"/>
        </w:rPr>
      </w:pPr>
      <w:r>
        <w:rPr>
          <w:rFonts w:hint="eastAsia"/>
          <w:color w:val="auto"/>
          <w:sz w:val="22"/>
          <w:szCs w:val="20"/>
          <w:highlight w:val="none"/>
        </w:rPr>
        <w:t>4. 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w:t>
      </w:r>
      <w:r>
        <w:rPr>
          <w:rFonts w:hint="eastAsia"/>
          <w:color w:val="auto"/>
          <w:sz w:val="22"/>
          <w:szCs w:val="22"/>
          <w:highlight w:val="none"/>
        </w:rPr>
        <w:t>投标截止日前3年在经营活动中没有重大违法记录</w:t>
      </w:r>
      <w:r>
        <w:rPr>
          <w:rFonts w:hint="eastAsia"/>
          <w:color w:val="auto"/>
          <w:sz w:val="22"/>
          <w:szCs w:val="20"/>
          <w:highlight w:val="none"/>
        </w:rPr>
        <w:t>。</w:t>
      </w:r>
    </w:p>
    <w:p w14:paraId="25F15FC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color w:val="auto"/>
          <w:sz w:val="22"/>
          <w:szCs w:val="20"/>
          <w:highlight w:val="none"/>
        </w:rPr>
      </w:pPr>
      <w:r>
        <w:rPr>
          <w:rFonts w:hint="eastAsia"/>
          <w:color w:val="auto"/>
          <w:sz w:val="22"/>
          <w:szCs w:val="20"/>
          <w:highlight w:val="none"/>
        </w:rPr>
        <w:t>5</w:t>
      </w:r>
      <w:r>
        <w:rPr>
          <w:color w:val="auto"/>
          <w:sz w:val="22"/>
          <w:szCs w:val="20"/>
          <w:highlight w:val="none"/>
        </w:rPr>
        <w:t>.我</w:t>
      </w:r>
      <w:r>
        <w:rPr>
          <w:rFonts w:hint="eastAsia"/>
          <w:color w:val="auto"/>
          <w:sz w:val="22"/>
          <w:szCs w:val="20"/>
          <w:highlight w:val="none"/>
        </w:rPr>
        <w:t>方</w:t>
      </w:r>
      <w:r>
        <w:rPr>
          <w:color w:val="auto"/>
          <w:sz w:val="22"/>
          <w:szCs w:val="20"/>
          <w:highlight w:val="none"/>
        </w:rPr>
        <w:t>若中标，本承诺将成为合同不可分割的一部分，与合同具有同等的法律效力。</w:t>
      </w:r>
    </w:p>
    <w:p w14:paraId="1352EA1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color w:val="auto"/>
          <w:sz w:val="22"/>
          <w:szCs w:val="20"/>
          <w:highlight w:val="none"/>
        </w:rPr>
      </w:pPr>
      <w:r>
        <w:rPr>
          <w:rFonts w:hint="eastAsia"/>
          <w:color w:val="auto"/>
          <w:sz w:val="22"/>
          <w:szCs w:val="20"/>
          <w:highlight w:val="none"/>
        </w:rPr>
        <w:t>6. 如违反上述承诺，我方投标无效且接受相关部门依法作出的处罚，并承担通过“甘肃政府采购网”等相关媒体予以公布的任何风险和责任。</w:t>
      </w:r>
    </w:p>
    <w:p w14:paraId="50E664CD">
      <w:pPr>
        <w:pStyle w:val="2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7.我方愿意提供贵单位可能另外要求的，与投标有关的文件资料，并保证我方已提供和将要提供的文件资料是真实、准确的。</w:t>
      </w:r>
    </w:p>
    <w:p w14:paraId="66F539BD">
      <w:pPr>
        <w:pStyle w:val="2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Cs/>
          <w:color w:val="auto"/>
          <w:sz w:val="22"/>
          <w:szCs w:val="22"/>
          <w:highlight w:val="none"/>
        </w:rPr>
      </w:pPr>
      <w:r>
        <w:rPr>
          <w:rFonts w:hint="eastAsia" w:hAnsi="宋体"/>
          <w:bCs/>
          <w:color w:val="auto"/>
          <w:sz w:val="22"/>
          <w:szCs w:val="22"/>
          <w:highlight w:val="none"/>
          <w:lang w:val="en-US" w:eastAsia="zh-CN"/>
        </w:rPr>
        <w:t>8</w:t>
      </w:r>
      <w:r>
        <w:rPr>
          <w:rFonts w:hint="eastAsia" w:hAnsi="宋体"/>
          <w:bCs/>
          <w:color w:val="auto"/>
          <w:sz w:val="22"/>
          <w:szCs w:val="22"/>
          <w:highlight w:val="none"/>
        </w:rPr>
        <w:t>.我方完全理解采购人不一定将合同授予最低报价的投标人的行为。</w:t>
      </w:r>
    </w:p>
    <w:p w14:paraId="20DF9D1B">
      <w:pPr>
        <w:pStyle w:val="2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Cs/>
          <w:color w:val="auto"/>
          <w:sz w:val="22"/>
          <w:szCs w:val="22"/>
          <w:highlight w:val="none"/>
        </w:rPr>
      </w:pPr>
    </w:p>
    <w:p w14:paraId="34BD30C9">
      <w:pPr>
        <w:pStyle w:val="2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投标人（</w:t>
      </w:r>
      <w:r>
        <w:rPr>
          <w:rFonts w:hint="eastAsia" w:hAnsi="宋体"/>
          <w:color w:val="auto"/>
          <w:sz w:val="22"/>
          <w:szCs w:val="22"/>
          <w:highlight w:val="none"/>
        </w:rPr>
        <w:t>公章</w:t>
      </w:r>
      <w:r>
        <w:rPr>
          <w:rFonts w:hint="eastAsia" w:hAnsi="宋体"/>
          <w:bCs/>
          <w:color w:val="auto"/>
          <w:sz w:val="22"/>
          <w:szCs w:val="22"/>
          <w:highlight w:val="none"/>
        </w:rPr>
        <w:t>）：               法定代表人或</w:t>
      </w:r>
      <w:r>
        <w:rPr>
          <w:rFonts w:hint="eastAsia" w:hAnsi="宋体"/>
          <w:bCs/>
          <w:color w:val="auto"/>
          <w:sz w:val="22"/>
          <w:szCs w:val="22"/>
          <w:highlight w:val="none"/>
          <w:lang w:eastAsia="zh-CN"/>
        </w:rPr>
        <w:t>授权代表</w:t>
      </w:r>
      <w:r>
        <w:rPr>
          <w:rFonts w:hint="eastAsia" w:hAnsi="宋体"/>
          <w:bCs/>
          <w:color w:val="auto"/>
          <w:sz w:val="22"/>
          <w:szCs w:val="22"/>
          <w:highlight w:val="none"/>
        </w:rPr>
        <w:t>（签字</w:t>
      </w:r>
      <w:r>
        <w:rPr>
          <w:rFonts w:hint="eastAsia" w:hAnsi="宋体"/>
          <w:color w:val="auto"/>
          <w:sz w:val="22"/>
          <w:szCs w:val="22"/>
          <w:highlight w:val="none"/>
          <w:lang w:eastAsia="zh-CN"/>
        </w:rPr>
        <w:t>或盖章</w:t>
      </w:r>
      <w:r>
        <w:rPr>
          <w:rFonts w:hint="eastAsia" w:hAnsi="宋体"/>
          <w:bCs/>
          <w:color w:val="auto"/>
          <w:sz w:val="22"/>
          <w:szCs w:val="22"/>
          <w:highlight w:val="none"/>
        </w:rPr>
        <w:t>）：</w:t>
      </w:r>
    </w:p>
    <w:p w14:paraId="14AEE18B">
      <w:pPr>
        <w:pStyle w:val="2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通讯地址：                     邮政编码：</w:t>
      </w:r>
    </w:p>
    <w:p w14:paraId="459738BF">
      <w:pPr>
        <w:pStyle w:val="2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联系电话：                     传    真：</w:t>
      </w:r>
    </w:p>
    <w:p w14:paraId="11D211A2">
      <w:pPr>
        <w:pStyle w:val="25"/>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sz w:val="22"/>
          <w:szCs w:val="22"/>
        </w:rPr>
      </w:pPr>
      <w:r>
        <w:rPr>
          <w:rFonts w:hint="eastAsia" w:hAnsi="宋体"/>
          <w:bCs/>
          <w:color w:val="auto"/>
          <w:sz w:val="22"/>
          <w:szCs w:val="22"/>
          <w:highlight w:val="none"/>
        </w:rPr>
        <w:t>日    期：   年   月   日</w:t>
      </w:r>
    </w:p>
    <w:p w14:paraId="2712BB06">
      <w:pPr>
        <w:pStyle w:val="5"/>
        <w:pageBreakBefore/>
        <w:adjustRightInd/>
        <w:spacing w:before="0" w:after="0" w:line="360" w:lineRule="auto"/>
        <w:jc w:val="center"/>
        <w:textAlignment w:val="auto"/>
        <w:rPr>
          <w:rFonts w:ascii="宋体"/>
          <w:b w:val="0"/>
          <w:bCs w:val="0"/>
          <w:kern w:val="2"/>
          <w:sz w:val="28"/>
          <w:szCs w:val="28"/>
        </w:rPr>
      </w:pPr>
      <w:bookmarkStart w:id="88" w:name="_Toc3377"/>
      <w:bookmarkStart w:id="89" w:name="_Toc7829"/>
      <w:bookmarkStart w:id="90" w:name="_Toc28929"/>
      <w:r>
        <w:rPr>
          <w:rFonts w:hint="eastAsia" w:ascii="宋体" w:hAnsi="宋体" w:cs="宋体"/>
          <w:b w:val="0"/>
          <w:bCs w:val="0"/>
          <w:kern w:val="2"/>
          <w:sz w:val="28"/>
          <w:szCs w:val="28"/>
          <w:lang w:val="en-US" w:eastAsia="zh-CN"/>
        </w:rPr>
        <w:t>三</w:t>
      </w:r>
      <w:r>
        <w:rPr>
          <w:rFonts w:hint="eastAsia" w:ascii="宋体" w:hAnsi="宋体" w:cs="宋体"/>
          <w:b w:val="0"/>
          <w:bCs w:val="0"/>
          <w:kern w:val="2"/>
          <w:sz w:val="28"/>
          <w:szCs w:val="28"/>
        </w:rPr>
        <w:t>、</w:t>
      </w:r>
      <w:bookmarkEnd w:id="88"/>
      <w:r>
        <w:rPr>
          <w:rFonts w:hint="eastAsia" w:ascii="宋体" w:hAnsi="宋体" w:cs="宋体"/>
          <w:b w:val="0"/>
          <w:bCs w:val="0"/>
          <w:kern w:val="2"/>
          <w:sz w:val="28"/>
          <w:szCs w:val="28"/>
        </w:rPr>
        <w:t>开标一览表</w:t>
      </w:r>
      <w:bookmarkEnd w:id="89"/>
      <w:bookmarkEnd w:id="90"/>
    </w:p>
    <w:p w14:paraId="7E19E06E">
      <w:pPr>
        <w:adjustRightInd w:val="0"/>
        <w:snapToGrid w:val="0"/>
        <w:spacing w:line="360" w:lineRule="auto"/>
        <w:ind w:left="-88" w:leftChars="-42"/>
        <w:rPr>
          <w:rFonts w:ascii="宋体"/>
          <w:color w:val="000000"/>
          <w:sz w:val="22"/>
          <w:szCs w:val="22"/>
        </w:rPr>
      </w:pPr>
    </w:p>
    <w:p w14:paraId="42B9B2E4">
      <w:pPr>
        <w:spacing w:line="360" w:lineRule="auto"/>
        <w:rPr>
          <w:rFonts w:hint="eastAsia" w:ascii="宋体" w:hAnsi="宋体"/>
          <w:color w:val="auto"/>
          <w:sz w:val="24"/>
          <w:szCs w:val="24"/>
        </w:rPr>
      </w:pPr>
      <w:r>
        <w:rPr>
          <w:rFonts w:hint="eastAsia" w:ascii="宋体" w:hAnsi="宋体"/>
          <w:color w:val="auto"/>
          <w:sz w:val="24"/>
          <w:szCs w:val="24"/>
        </w:rPr>
        <w:t xml:space="preserve">投标人名称： </w:t>
      </w:r>
    </w:p>
    <w:p w14:paraId="5D5E4BA9">
      <w:pPr>
        <w:spacing w:line="360" w:lineRule="auto"/>
        <w:rPr>
          <w:rFonts w:hint="eastAsia" w:ascii="宋体" w:hAnsi="宋体"/>
          <w:color w:val="auto"/>
          <w:sz w:val="24"/>
          <w:szCs w:val="24"/>
        </w:rPr>
      </w:pPr>
      <w:r>
        <w:rPr>
          <w:rFonts w:hint="eastAsia" w:ascii="宋体" w:hAnsi="宋体"/>
          <w:color w:val="auto"/>
          <w:sz w:val="24"/>
          <w:szCs w:val="24"/>
        </w:rPr>
        <w:t xml:space="preserve">项目名称：        </w:t>
      </w:r>
    </w:p>
    <w:p w14:paraId="2C7DBDB5">
      <w:pPr>
        <w:spacing w:line="360" w:lineRule="auto"/>
        <w:rPr>
          <w:rFonts w:hint="eastAsia" w:ascii="宋体" w:hAnsi="宋体"/>
          <w:color w:val="auto"/>
          <w:sz w:val="24"/>
          <w:szCs w:val="24"/>
        </w:rPr>
      </w:pPr>
      <w:r>
        <w:rPr>
          <w:rFonts w:hint="eastAsia" w:ascii="宋体" w:hAnsi="宋体"/>
          <w:color w:val="auto"/>
          <w:sz w:val="24"/>
          <w:szCs w:val="24"/>
        </w:rPr>
        <w:t xml:space="preserve">招标文件编号：                </w:t>
      </w:r>
      <w:r>
        <w:rPr>
          <w:rFonts w:hint="eastAsia" w:hAnsi="宋体"/>
          <w:color w:val="auto"/>
          <w:sz w:val="24"/>
          <w:szCs w:val="24"/>
          <w:lang w:val="en-US" w:eastAsia="zh-CN"/>
        </w:rPr>
        <w:t xml:space="preserve">     </w:t>
      </w:r>
      <w:r>
        <w:rPr>
          <w:rFonts w:hint="eastAsia" w:ascii="宋体" w:hAnsi="宋体"/>
          <w:color w:val="auto"/>
          <w:sz w:val="24"/>
          <w:szCs w:val="24"/>
        </w:rPr>
        <w:t xml:space="preserve">包号：     </w:t>
      </w:r>
      <w:r>
        <w:rPr>
          <w:rFonts w:hint="eastAsia" w:hAnsi="宋体"/>
          <w:color w:val="auto"/>
          <w:sz w:val="24"/>
          <w:szCs w:val="24"/>
          <w:lang w:val="en-US" w:eastAsia="zh-CN"/>
        </w:rPr>
        <w:t xml:space="preserve">          </w:t>
      </w:r>
      <w:r>
        <w:rPr>
          <w:rFonts w:hint="eastAsia" w:ascii="宋体" w:hAnsi="宋体"/>
          <w:color w:val="auto"/>
          <w:sz w:val="24"/>
          <w:szCs w:val="24"/>
        </w:rPr>
        <w:t>币种：人民币</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200"/>
      </w:tblGrid>
      <w:tr w14:paraId="0399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620" w:type="dxa"/>
            <w:tcBorders>
              <w:tl2br w:val="nil"/>
              <w:tr2bl w:val="nil"/>
            </w:tcBorders>
            <w:noWrap w:val="0"/>
            <w:vAlign w:val="center"/>
          </w:tcPr>
          <w:p w14:paraId="7BC3F7C1">
            <w:pPr>
              <w:tabs>
                <w:tab w:val="left" w:pos="403"/>
                <w:tab w:val="center" w:pos="3781"/>
              </w:tabs>
              <w:spacing w:line="360" w:lineRule="auto"/>
              <w:ind w:right="-5206" w:rightChars="-2479" w:firstLine="240" w:firstLineChars="100"/>
              <w:rPr>
                <w:rFonts w:ascii="宋体" w:hAnsi="宋体"/>
                <w:color w:val="auto"/>
                <w:sz w:val="24"/>
                <w:szCs w:val="24"/>
              </w:rPr>
            </w:pPr>
            <w:r>
              <w:rPr>
                <w:rFonts w:hint="eastAsia" w:ascii="宋体" w:hAnsi="宋体"/>
                <w:color w:val="auto"/>
                <w:sz w:val="24"/>
                <w:szCs w:val="24"/>
              </w:rPr>
              <w:t>项目名称</w:t>
            </w:r>
            <w:r>
              <w:rPr>
                <w:rFonts w:hint="eastAsia" w:ascii="宋体" w:hAnsi="宋体"/>
                <w:color w:val="auto"/>
                <w:sz w:val="24"/>
                <w:szCs w:val="24"/>
              </w:rPr>
              <w:tab/>
            </w:r>
            <w:r>
              <w:rPr>
                <w:rFonts w:hint="eastAsia" w:ascii="宋体" w:hAnsi="宋体"/>
                <w:color w:val="auto"/>
                <w:sz w:val="24"/>
                <w:szCs w:val="24"/>
              </w:rPr>
              <w:t>项目名称</w:t>
            </w:r>
          </w:p>
        </w:tc>
        <w:tc>
          <w:tcPr>
            <w:tcW w:w="7200" w:type="dxa"/>
            <w:tcBorders>
              <w:tl2br w:val="nil"/>
              <w:tr2bl w:val="nil"/>
            </w:tcBorders>
            <w:noWrap w:val="0"/>
            <w:vAlign w:val="center"/>
          </w:tcPr>
          <w:p w14:paraId="76A914B6">
            <w:pPr>
              <w:spacing w:line="360" w:lineRule="auto"/>
              <w:jc w:val="center"/>
              <w:rPr>
                <w:rFonts w:ascii="宋体" w:hAnsi="宋体"/>
                <w:color w:val="auto"/>
                <w:sz w:val="24"/>
                <w:szCs w:val="24"/>
              </w:rPr>
            </w:pPr>
          </w:p>
        </w:tc>
      </w:tr>
      <w:tr w14:paraId="3E4B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20" w:type="dxa"/>
            <w:tcBorders>
              <w:tl2br w:val="nil"/>
              <w:tr2bl w:val="nil"/>
            </w:tcBorders>
            <w:noWrap w:val="0"/>
            <w:vAlign w:val="center"/>
          </w:tcPr>
          <w:p w14:paraId="1128049F">
            <w:pPr>
              <w:spacing w:line="360" w:lineRule="auto"/>
              <w:jc w:val="center"/>
              <w:rPr>
                <w:rFonts w:hint="eastAsia" w:hAnsi="宋体"/>
                <w:color w:val="auto"/>
                <w:sz w:val="24"/>
                <w:szCs w:val="24"/>
                <w:lang w:eastAsia="zh-CN"/>
              </w:rPr>
            </w:pPr>
            <w:r>
              <w:rPr>
                <w:rFonts w:hint="eastAsia" w:hAnsi="宋体"/>
                <w:color w:val="auto"/>
                <w:sz w:val="24"/>
                <w:szCs w:val="24"/>
                <w:lang w:eastAsia="zh-CN"/>
              </w:rPr>
              <w:t>投标总价</w:t>
            </w:r>
          </w:p>
          <w:p w14:paraId="36CFCA4B">
            <w:pPr>
              <w:spacing w:line="360" w:lineRule="auto"/>
              <w:jc w:val="center"/>
              <w:rPr>
                <w:rFonts w:hint="eastAsia" w:ascii="宋体" w:hAnsi="宋体" w:eastAsia="宋体"/>
                <w:color w:val="auto"/>
                <w:sz w:val="24"/>
                <w:szCs w:val="24"/>
                <w:lang w:eastAsia="zh-CN"/>
              </w:rPr>
            </w:pPr>
            <w:r>
              <w:rPr>
                <w:rFonts w:hint="eastAsia" w:hAnsi="宋体"/>
                <w:color w:val="auto"/>
                <w:sz w:val="24"/>
                <w:szCs w:val="24"/>
                <w:lang w:eastAsia="zh-CN"/>
              </w:rPr>
              <w:t>（万元）</w:t>
            </w:r>
          </w:p>
        </w:tc>
        <w:tc>
          <w:tcPr>
            <w:tcW w:w="7200" w:type="dxa"/>
            <w:tcBorders>
              <w:tl2br w:val="nil"/>
              <w:tr2bl w:val="nil"/>
            </w:tcBorders>
            <w:noWrap w:val="0"/>
            <w:vAlign w:val="center"/>
          </w:tcPr>
          <w:p w14:paraId="084F693F">
            <w:pPr>
              <w:spacing w:line="360" w:lineRule="auto"/>
              <w:rPr>
                <w:rFonts w:ascii="宋体" w:hAnsi="宋体"/>
                <w:color w:val="auto"/>
                <w:sz w:val="24"/>
                <w:szCs w:val="24"/>
              </w:rPr>
            </w:pPr>
            <w:r>
              <w:rPr>
                <w:rFonts w:hint="eastAsia" w:ascii="宋体" w:hAnsi="宋体"/>
                <w:color w:val="auto"/>
                <w:sz w:val="24"/>
                <w:szCs w:val="24"/>
              </w:rPr>
              <w:t>小写：</w:t>
            </w:r>
            <w:r>
              <w:rPr>
                <w:rFonts w:hint="eastAsia" w:ascii="宋体" w:hAnsi="宋体"/>
                <w:color w:val="auto"/>
                <w:sz w:val="24"/>
                <w:szCs w:val="24"/>
                <w:u w:val="single"/>
              </w:rPr>
              <w:t xml:space="preserve">                    </w:t>
            </w:r>
          </w:p>
          <w:p w14:paraId="0A75A3A7">
            <w:pPr>
              <w:spacing w:line="360" w:lineRule="auto"/>
              <w:rPr>
                <w:rFonts w:ascii="宋体" w:hAnsi="宋体"/>
                <w:color w:val="auto"/>
                <w:sz w:val="24"/>
                <w:szCs w:val="24"/>
              </w:rPr>
            </w:pPr>
            <w:r>
              <w:rPr>
                <w:rFonts w:hint="eastAsia" w:ascii="宋体" w:hAnsi="宋体"/>
                <w:color w:val="auto"/>
                <w:sz w:val="24"/>
                <w:szCs w:val="24"/>
              </w:rPr>
              <w:t>大写：</w:t>
            </w:r>
            <w:r>
              <w:rPr>
                <w:rFonts w:hint="eastAsia" w:ascii="宋体" w:hAnsi="宋体"/>
                <w:color w:val="auto"/>
                <w:sz w:val="24"/>
                <w:szCs w:val="24"/>
                <w:u w:val="single"/>
              </w:rPr>
              <w:t xml:space="preserve">                    </w:t>
            </w:r>
          </w:p>
        </w:tc>
      </w:tr>
      <w:tr w14:paraId="6E21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20" w:type="dxa"/>
            <w:tcBorders>
              <w:tl2br w:val="nil"/>
              <w:tr2bl w:val="nil"/>
            </w:tcBorders>
            <w:noWrap w:val="0"/>
            <w:vAlign w:val="center"/>
          </w:tcPr>
          <w:p w14:paraId="44C7C709">
            <w:pPr>
              <w:spacing w:line="360" w:lineRule="auto"/>
              <w:jc w:val="center"/>
              <w:rPr>
                <w:rFonts w:ascii="宋体" w:hAnsi="宋体"/>
                <w:color w:val="auto"/>
                <w:sz w:val="24"/>
                <w:szCs w:val="24"/>
              </w:rPr>
            </w:pPr>
            <w:r>
              <w:rPr>
                <w:rFonts w:hint="eastAsia" w:hAnsi="宋体"/>
                <w:color w:val="auto"/>
                <w:sz w:val="24"/>
                <w:szCs w:val="24"/>
                <w:lang w:eastAsia="zh-CN"/>
              </w:rPr>
              <w:t>服务期限</w:t>
            </w:r>
          </w:p>
        </w:tc>
        <w:tc>
          <w:tcPr>
            <w:tcW w:w="7200" w:type="dxa"/>
            <w:tcBorders>
              <w:tl2br w:val="nil"/>
              <w:tr2bl w:val="nil"/>
            </w:tcBorders>
            <w:noWrap w:val="0"/>
            <w:vAlign w:val="center"/>
          </w:tcPr>
          <w:p w14:paraId="619800C8">
            <w:pPr>
              <w:spacing w:line="360" w:lineRule="auto"/>
              <w:rPr>
                <w:rFonts w:ascii="宋体" w:hAnsi="宋体"/>
                <w:iCs/>
                <w:color w:val="auto"/>
                <w:sz w:val="24"/>
                <w:szCs w:val="24"/>
              </w:rPr>
            </w:pPr>
          </w:p>
        </w:tc>
      </w:tr>
      <w:tr w14:paraId="2BE3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20" w:type="dxa"/>
            <w:tcBorders>
              <w:tl2br w:val="nil"/>
              <w:tr2bl w:val="nil"/>
            </w:tcBorders>
            <w:noWrap w:val="0"/>
            <w:vAlign w:val="center"/>
          </w:tcPr>
          <w:p w14:paraId="43E8E3C9">
            <w:pPr>
              <w:spacing w:line="360" w:lineRule="auto"/>
              <w:jc w:val="center"/>
              <w:rPr>
                <w:rFonts w:ascii="宋体" w:hAnsi="宋体"/>
                <w:color w:val="auto"/>
                <w:sz w:val="24"/>
                <w:szCs w:val="24"/>
              </w:rPr>
            </w:pPr>
            <w:r>
              <w:rPr>
                <w:rFonts w:hint="eastAsia" w:ascii="宋体" w:hAnsi="宋体"/>
                <w:color w:val="auto"/>
                <w:sz w:val="24"/>
                <w:szCs w:val="24"/>
              </w:rPr>
              <w:t>项目负责人</w:t>
            </w:r>
          </w:p>
        </w:tc>
        <w:tc>
          <w:tcPr>
            <w:tcW w:w="7200" w:type="dxa"/>
            <w:tcBorders>
              <w:tl2br w:val="nil"/>
              <w:tr2bl w:val="nil"/>
            </w:tcBorders>
            <w:noWrap w:val="0"/>
            <w:vAlign w:val="center"/>
          </w:tcPr>
          <w:p w14:paraId="6899006D">
            <w:pPr>
              <w:spacing w:line="360" w:lineRule="auto"/>
              <w:ind w:firstLine="240" w:firstLineChars="100"/>
              <w:rPr>
                <w:rFonts w:ascii="宋体" w:hAnsi="宋体"/>
                <w:color w:val="auto"/>
                <w:sz w:val="24"/>
                <w:szCs w:val="24"/>
              </w:rPr>
            </w:pPr>
          </w:p>
        </w:tc>
      </w:tr>
      <w:tr w14:paraId="0021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l2br w:val="nil"/>
              <w:tr2bl w:val="nil"/>
            </w:tcBorders>
            <w:noWrap w:val="0"/>
            <w:vAlign w:val="center"/>
          </w:tcPr>
          <w:p w14:paraId="29B83F68">
            <w:pPr>
              <w:spacing w:line="360" w:lineRule="auto"/>
              <w:jc w:val="center"/>
              <w:rPr>
                <w:rFonts w:ascii="宋体" w:hAnsi="宋体"/>
                <w:color w:val="auto"/>
                <w:sz w:val="24"/>
                <w:szCs w:val="24"/>
              </w:rPr>
            </w:pPr>
            <w:r>
              <w:rPr>
                <w:rFonts w:hint="eastAsia" w:ascii="宋体" w:hAnsi="宋体"/>
                <w:color w:val="auto"/>
                <w:sz w:val="24"/>
                <w:szCs w:val="24"/>
              </w:rPr>
              <w:t>备  注</w:t>
            </w:r>
          </w:p>
        </w:tc>
        <w:tc>
          <w:tcPr>
            <w:tcW w:w="7200" w:type="dxa"/>
            <w:tcBorders>
              <w:tl2br w:val="nil"/>
              <w:tr2bl w:val="nil"/>
            </w:tcBorders>
            <w:noWrap w:val="0"/>
            <w:vAlign w:val="center"/>
          </w:tcPr>
          <w:p w14:paraId="606479A9">
            <w:pPr>
              <w:spacing w:line="360" w:lineRule="auto"/>
              <w:rPr>
                <w:rFonts w:ascii="宋体" w:hAnsi="宋体"/>
                <w:color w:val="auto"/>
                <w:sz w:val="24"/>
                <w:szCs w:val="24"/>
              </w:rPr>
            </w:pPr>
          </w:p>
        </w:tc>
      </w:tr>
    </w:tbl>
    <w:p w14:paraId="6A5D1C74">
      <w:pPr>
        <w:adjustRightInd w:val="0"/>
        <w:snapToGrid w:val="0"/>
        <w:spacing w:line="360" w:lineRule="auto"/>
        <w:ind w:left="-88" w:leftChars="-42"/>
        <w:rPr>
          <w:rFonts w:ascii="宋体" w:hAnsi="宋体"/>
          <w:color w:val="auto"/>
          <w:sz w:val="24"/>
          <w:szCs w:val="24"/>
        </w:rPr>
      </w:pPr>
    </w:p>
    <w:p w14:paraId="41BD383C">
      <w:pPr>
        <w:adjustRightInd w:val="0"/>
        <w:snapToGrid w:val="0"/>
        <w:spacing w:line="360" w:lineRule="auto"/>
        <w:rPr>
          <w:rFonts w:ascii="宋体" w:hAnsi="宋体"/>
          <w:color w:val="auto"/>
          <w:sz w:val="24"/>
          <w:szCs w:val="24"/>
        </w:rPr>
      </w:pPr>
      <w:r>
        <w:rPr>
          <w:rFonts w:hint="eastAsia" w:ascii="宋体" w:hAnsi="宋体"/>
          <w:color w:val="auto"/>
          <w:sz w:val="24"/>
          <w:szCs w:val="24"/>
        </w:rPr>
        <w:t>投标人（</w:t>
      </w:r>
      <w:r>
        <w:rPr>
          <w:rFonts w:hint="eastAsia" w:hAnsi="宋体"/>
          <w:color w:val="auto"/>
          <w:sz w:val="24"/>
          <w:szCs w:val="24"/>
          <w:lang w:eastAsia="zh-CN"/>
        </w:rPr>
        <w:t>公章</w:t>
      </w:r>
      <w:r>
        <w:rPr>
          <w:rFonts w:hint="eastAsia" w:ascii="宋体" w:hAnsi="宋体"/>
          <w:color w:val="auto"/>
          <w:sz w:val="24"/>
          <w:szCs w:val="24"/>
        </w:rPr>
        <w:t>）：</w:t>
      </w:r>
    </w:p>
    <w:p w14:paraId="44F49F32">
      <w:pPr>
        <w:adjustRightInd w:val="0"/>
        <w:snapToGrid w:val="0"/>
        <w:spacing w:line="360" w:lineRule="auto"/>
        <w:rPr>
          <w:rFonts w:ascii="宋体" w:hAnsi="宋体"/>
          <w:color w:val="auto"/>
          <w:sz w:val="24"/>
          <w:szCs w:val="24"/>
        </w:rPr>
      </w:pPr>
      <w:r>
        <w:rPr>
          <w:rFonts w:hint="eastAsia" w:ascii="宋体" w:hAnsi="宋体"/>
          <w:color w:val="auto"/>
          <w:sz w:val="24"/>
          <w:szCs w:val="24"/>
        </w:rPr>
        <w:t>法定代表人或</w:t>
      </w:r>
      <w:r>
        <w:rPr>
          <w:rFonts w:hint="default" w:hAnsi="宋体"/>
          <w:color w:val="auto"/>
          <w:sz w:val="24"/>
          <w:szCs w:val="24"/>
          <w:lang w:val="en" w:eastAsia="zh-CN"/>
        </w:rPr>
        <w:t>授权代表</w:t>
      </w:r>
      <w:r>
        <w:rPr>
          <w:rFonts w:hint="eastAsia" w:ascii="宋体" w:hAnsi="宋体"/>
          <w:color w:val="auto"/>
          <w:sz w:val="24"/>
          <w:szCs w:val="24"/>
        </w:rPr>
        <w:t>（签字</w:t>
      </w:r>
      <w:r>
        <w:rPr>
          <w:rFonts w:hint="eastAsia" w:hAnsi="宋体"/>
          <w:color w:val="auto"/>
          <w:sz w:val="24"/>
          <w:szCs w:val="24"/>
          <w:lang w:eastAsia="zh-CN"/>
        </w:rPr>
        <w:t>或盖章</w:t>
      </w:r>
      <w:r>
        <w:rPr>
          <w:rFonts w:hint="eastAsia" w:ascii="宋体" w:hAnsi="宋体"/>
          <w:color w:val="auto"/>
          <w:sz w:val="24"/>
          <w:szCs w:val="24"/>
        </w:rPr>
        <w:t>）：</w:t>
      </w:r>
      <w:r>
        <w:rPr>
          <w:rFonts w:hint="eastAsia" w:ascii="宋体" w:hAnsi="宋体"/>
          <w:color w:val="auto"/>
          <w:sz w:val="24"/>
          <w:szCs w:val="24"/>
          <w:u w:val="single"/>
        </w:rPr>
        <w:t xml:space="preserve">         </w:t>
      </w:r>
    </w:p>
    <w:p w14:paraId="2F2F7FC3">
      <w:pPr>
        <w:adjustRightInd w:val="0"/>
        <w:snapToGrid w:val="0"/>
        <w:spacing w:line="360" w:lineRule="auto"/>
        <w:rPr>
          <w:rFonts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17EFFB6D">
      <w:pPr>
        <w:spacing w:line="360" w:lineRule="auto"/>
        <w:rPr>
          <w:rFonts w:hint="eastAsia" w:ascii="宋体" w:hAnsi="宋体"/>
          <w:color w:val="auto"/>
          <w:sz w:val="24"/>
          <w:szCs w:val="24"/>
        </w:rPr>
      </w:pPr>
    </w:p>
    <w:p w14:paraId="6A21F7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color w:val="auto"/>
          <w:sz w:val="24"/>
          <w:szCs w:val="24"/>
        </w:rPr>
      </w:pPr>
      <w:r>
        <w:rPr>
          <w:rFonts w:hint="eastAsia" w:ascii="宋体" w:hAnsi="宋体"/>
          <w:color w:val="auto"/>
          <w:sz w:val="24"/>
          <w:szCs w:val="24"/>
        </w:rPr>
        <w:t xml:space="preserve"> 说明：</w:t>
      </w:r>
      <w:r>
        <w:rPr>
          <w:rFonts w:ascii="宋体" w:hAnsi="宋体"/>
          <w:color w:val="auto"/>
          <w:sz w:val="24"/>
          <w:szCs w:val="24"/>
        </w:rPr>
        <w:t>1</w:t>
      </w:r>
      <w:r>
        <w:rPr>
          <w:rFonts w:hint="eastAsia" w:ascii="宋体" w:hAnsi="宋体"/>
          <w:color w:val="auto"/>
          <w:sz w:val="24"/>
          <w:szCs w:val="24"/>
        </w:rPr>
        <w:t>. 报价应是最终用户验收合格后的总价，包括采购需求包含的所有服务项目的总价和招标文件规定的其它费用。</w:t>
      </w:r>
    </w:p>
    <w:p w14:paraId="363D6F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b w:val="0"/>
          <w:bCs w:val="0"/>
          <w:color w:val="auto"/>
          <w:sz w:val="24"/>
          <w:szCs w:val="24"/>
        </w:rPr>
      </w:pPr>
      <w:r>
        <w:rPr>
          <w:rFonts w:hint="eastAsia" w:ascii="宋体" w:hAnsi="宋体"/>
          <w:color w:val="auto"/>
          <w:sz w:val="24"/>
          <w:szCs w:val="24"/>
          <w:lang w:val="en-US" w:eastAsia="zh-CN"/>
        </w:rPr>
        <w:t xml:space="preserve"> </w:t>
      </w:r>
      <w:r>
        <w:rPr>
          <w:rFonts w:hint="eastAsia" w:ascii="宋体" w:hAnsi="宋体"/>
          <w:b w:val="0"/>
          <w:bCs w:val="0"/>
          <w:color w:val="auto"/>
          <w:sz w:val="24"/>
          <w:szCs w:val="24"/>
          <w:lang w:val="en-US" w:eastAsia="zh-CN"/>
        </w:rPr>
        <w:t>2.</w:t>
      </w:r>
      <w:r>
        <w:rPr>
          <w:rFonts w:hint="eastAsia" w:ascii="宋体" w:hAnsi="宋体"/>
          <w:b w:val="0"/>
          <w:bCs w:val="0"/>
          <w:color w:val="auto"/>
          <w:sz w:val="24"/>
          <w:szCs w:val="24"/>
        </w:rPr>
        <w:t>“开标一览表”</w:t>
      </w:r>
      <w:r>
        <w:rPr>
          <w:rFonts w:hint="eastAsia" w:ascii="宋体" w:hAnsi="宋体"/>
          <w:b w:val="0"/>
          <w:bCs w:val="0"/>
          <w:color w:val="auto"/>
          <w:sz w:val="24"/>
          <w:szCs w:val="24"/>
          <w:lang w:eastAsia="zh-CN"/>
        </w:rPr>
        <w:t>必须</w:t>
      </w:r>
      <w:r>
        <w:rPr>
          <w:rFonts w:hint="eastAsia" w:hAnsi="宋体"/>
          <w:b w:val="0"/>
          <w:bCs w:val="0"/>
          <w:color w:val="auto"/>
          <w:sz w:val="24"/>
          <w:szCs w:val="24"/>
          <w:lang w:eastAsia="zh-CN"/>
        </w:rPr>
        <w:t>签字或盖章，</w:t>
      </w:r>
      <w:r>
        <w:rPr>
          <w:rFonts w:hint="eastAsia" w:ascii="宋体" w:hAnsi="宋体"/>
          <w:b w:val="0"/>
          <w:bCs w:val="0"/>
          <w:color w:val="auto"/>
          <w:sz w:val="24"/>
          <w:szCs w:val="24"/>
        </w:rPr>
        <w:t>否则为无效投标</w:t>
      </w:r>
      <w:r>
        <w:rPr>
          <w:rFonts w:hint="eastAsia" w:hAnsi="宋体"/>
          <w:b w:val="0"/>
          <w:bCs w:val="0"/>
          <w:color w:val="auto"/>
          <w:sz w:val="24"/>
          <w:szCs w:val="24"/>
          <w:lang w:eastAsia="zh-CN"/>
        </w:rPr>
        <w:t>，可以逐页签字或盖章也可以在落款处签字或盖章。</w:t>
      </w:r>
    </w:p>
    <w:p w14:paraId="2348238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b w:val="0"/>
          <w:bCs w:val="0"/>
          <w:color w:val="auto"/>
          <w:sz w:val="24"/>
          <w:szCs w:val="24"/>
        </w:rPr>
      </w:pPr>
      <w:r>
        <w:rPr>
          <w:rFonts w:hint="eastAsia" w:ascii="宋体" w:hAnsi="宋体"/>
          <w:b w:val="0"/>
          <w:bCs w:val="0"/>
          <w:color w:val="auto"/>
          <w:sz w:val="24"/>
          <w:szCs w:val="24"/>
          <w:lang w:val="en-US" w:eastAsia="zh-CN"/>
        </w:rPr>
        <w:t xml:space="preserve">     3</w:t>
      </w:r>
      <w:r>
        <w:rPr>
          <w:rFonts w:hint="eastAsia" w:ascii="宋体" w:hAnsi="宋体"/>
          <w:b w:val="0"/>
          <w:bCs w:val="0"/>
          <w:color w:val="auto"/>
          <w:sz w:val="24"/>
          <w:szCs w:val="24"/>
          <w:lang w:eastAsia="zh-CN"/>
        </w:rPr>
        <w:t>.</w:t>
      </w:r>
      <w:r>
        <w:rPr>
          <w:rFonts w:hint="eastAsia" w:ascii="宋体" w:hAnsi="宋体"/>
          <w:b w:val="0"/>
          <w:bCs w:val="0"/>
          <w:color w:val="auto"/>
          <w:sz w:val="24"/>
          <w:szCs w:val="24"/>
        </w:rPr>
        <w:t>“开标一览表”</w:t>
      </w:r>
      <w:r>
        <w:rPr>
          <w:rFonts w:hint="eastAsia" w:hAnsi="宋体"/>
          <w:b w:val="0"/>
          <w:bCs w:val="0"/>
          <w:color w:val="auto"/>
          <w:sz w:val="24"/>
          <w:szCs w:val="24"/>
          <w:lang w:eastAsia="zh-CN"/>
        </w:rPr>
        <w:t>按</w:t>
      </w:r>
      <w:r>
        <w:rPr>
          <w:rFonts w:hint="eastAsia" w:ascii="宋体" w:hAnsi="宋体"/>
          <w:b w:val="0"/>
          <w:bCs w:val="0"/>
          <w:color w:val="auto"/>
          <w:sz w:val="24"/>
          <w:szCs w:val="24"/>
        </w:rPr>
        <w:t>包</w:t>
      </w:r>
      <w:r>
        <w:rPr>
          <w:rFonts w:hint="eastAsia" w:hAnsi="宋体"/>
          <w:b w:val="0"/>
          <w:bCs w:val="0"/>
          <w:color w:val="auto"/>
          <w:sz w:val="24"/>
          <w:szCs w:val="24"/>
          <w:lang w:eastAsia="zh-CN"/>
        </w:rPr>
        <w:t>分别</w:t>
      </w:r>
      <w:r>
        <w:rPr>
          <w:rFonts w:hint="eastAsia" w:ascii="宋体" w:hAnsi="宋体"/>
          <w:b w:val="0"/>
          <w:bCs w:val="0"/>
          <w:color w:val="auto"/>
          <w:sz w:val="24"/>
          <w:szCs w:val="24"/>
        </w:rPr>
        <w:t>填写。</w:t>
      </w:r>
    </w:p>
    <w:p w14:paraId="382EB60F">
      <w:pPr>
        <w:adjustRightInd w:val="0"/>
        <w:snapToGrid w:val="0"/>
        <w:spacing w:line="360" w:lineRule="auto"/>
        <w:ind w:left="-88" w:leftChars="-42"/>
        <w:rPr>
          <w:rFonts w:ascii="宋体"/>
          <w:color w:val="000000"/>
          <w:sz w:val="22"/>
          <w:szCs w:val="22"/>
        </w:rPr>
      </w:pPr>
      <w:r>
        <w:rPr>
          <w:rFonts w:hint="eastAsia" w:hAnsi="宋体"/>
          <w:b/>
          <w:bCs/>
          <w:color w:val="auto"/>
          <w:sz w:val="24"/>
          <w:szCs w:val="24"/>
          <w:lang w:val="en-US" w:eastAsia="zh-CN"/>
        </w:rPr>
        <w:t xml:space="preserve">    </w:t>
      </w:r>
    </w:p>
    <w:p w14:paraId="0A6AAA58">
      <w:pPr>
        <w:adjustRightInd w:val="0"/>
        <w:snapToGrid w:val="0"/>
        <w:spacing w:line="360" w:lineRule="auto"/>
        <w:rPr>
          <w:rFonts w:ascii="宋体"/>
          <w:sz w:val="22"/>
          <w:szCs w:val="22"/>
        </w:rPr>
      </w:pPr>
    </w:p>
    <w:p w14:paraId="61F9A495">
      <w:pPr>
        <w:pStyle w:val="5"/>
        <w:pageBreakBefore/>
        <w:adjustRightInd/>
        <w:spacing w:before="0" w:after="0" w:line="360" w:lineRule="auto"/>
        <w:jc w:val="center"/>
        <w:textAlignment w:val="auto"/>
        <w:rPr>
          <w:rFonts w:ascii="宋体"/>
          <w:b w:val="0"/>
          <w:bCs w:val="0"/>
          <w:kern w:val="2"/>
          <w:sz w:val="28"/>
          <w:szCs w:val="28"/>
        </w:rPr>
      </w:pPr>
      <w:bookmarkStart w:id="91" w:name="_Toc30813"/>
      <w:bookmarkStart w:id="92" w:name="_Toc385671125"/>
      <w:bookmarkStart w:id="93" w:name="_Toc9647"/>
      <w:bookmarkStart w:id="94" w:name="_Toc2708"/>
      <w:bookmarkStart w:id="95" w:name="_Toc28483"/>
      <w:bookmarkStart w:id="96" w:name="_Toc11384"/>
      <w:bookmarkStart w:id="97" w:name="_Toc385671128"/>
      <w:r>
        <w:rPr>
          <w:rFonts w:hint="eastAsia" w:ascii="宋体" w:hAnsi="宋体" w:cs="宋体"/>
          <w:b w:val="0"/>
          <w:bCs w:val="0"/>
          <w:kern w:val="2"/>
          <w:sz w:val="28"/>
          <w:szCs w:val="28"/>
          <w:lang w:val="en-US" w:eastAsia="zh-CN"/>
        </w:rPr>
        <w:t>四</w:t>
      </w:r>
      <w:r>
        <w:rPr>
          <w:rFonts w:hint="eastAsia" w:ascii="宋体" w:hAnsi="宋体" w:cs="宋体"/>
          <w:b w:val="0"/>
          <w:bCs w:val="0"/>
          <w:kern w:val="2"/>
          <w:sz w:val="28"/>
          <w:szCs w:val="28"/>
        </w:rPr>
        <w:t>、</w:t>
      </w:r>
      <w:r>
        <w:rPr>
          <w:rFonts w:hint="eastAsia" w:ascii="宋体" w:hAnsi="宋体" w:cs="宋体"/>
          <w:b w:val="0"/>
          <w:bCs w:val="0"/>
          <w:kern w:val="2"/>
          <w:sz w:val="28"/>
          <w:szCs w:val="28"/>
          <w:lang w:val="en-US" w:eastAsia="zh-CN"/>
        </w:rPr>
        <w:t>报价明细</w:t>
      </w:r>
      <w:r>
        <w:rPr>
          <w:rFonts w:hint="eastAsia" w:ascii="宋体" w:hAnsi="宋体" w:cs="宋体"/>
          <w:b w:val="0"/>
          <w:bCs w:val="0"/>
          <w:kern w:val="2"/>
          <w:sz w:val="28"/>
          <w:szCs w:val="28"/>
        </w:rPr>
        <w:t>表</w:t>
      </w:r>
      <w:bookmarkEnd w:id="91"/>
      <w:bookmarkEnd w:id="92"/>
      <w:bookmarkEnd w:id="93"/>
      <w:bookmarkEnd w:id="94"/>
      <w:bookmarkEnd w:id="95"/>
    </w:p>
    <w:p w14:paraId="37B4C8B5">
      <w:pPr>
        <w:rPr>
          <w:rFonts w:ascii="宋体"/>
        </w:rPr>
      </w:pPr>
    </w:p>
    <w:p w14:paraId="7C94604F">
      <w:pPr>
        <w:pStyle w:val="37"/>
        <w:jc w:val="center"/>
        <w:rPr>
          <w:rFonts w:hAnsi="宋体" w:cs="Times New Roman"/>
          <w:b/>
          <w:bCs/>
        </w:rPr>
      </w:pPr>
    </w:p>
    <w:p w14:paraId="28CC28EB">
      <w:pPr>
        <w:spacing w:line="360" w:lineRule="auto"/>
        <w:jc w:val="center"/>
        <w:rPr>
          <w:rFonts w:hAnsi="宋体"/>
          <w:b/>
          <w:bCs/>
          <w:color w:val="auto"/>
          <w:sz w:val="24"/>
          <w:szCs w:val="24"/>
          <w:highlight w:val="none"/>
        </w:rPr>
      </w:pPr>
      <w:bookmarkStart w:id="98" w:name="_Toc934"/>
      <w:bookmarkStart w:id="99" w:name="_Toc25187"/>
      <w:r>
        <w:rPr>
          <w:rFonts w:hint="eastAsia"/>
          <w:b/>
          <w:bCs/>
          <w:color w:val="auto"/>
          <w:sz w:val="24"/>
          <w:highlight w:val="none"/>
        </w:rPr>
        <w:t>投标人根据采购项目要求自拟格式</w:t>
      </w:r>
    </w:p>
    <w:p w14:paraId="10CE66AF">
      <w:pPr>
        <w:pStyle w:val="5"/>
        <w:pageBreakBefore/>
        <w:adjustRightInd/>
        <w:spacing w:before="0" w:after="0" w:line="360" w:lineRule="auto"/>
        <w:jc w:val="center"/>
        <w:textAlignment w:val="auto"/>
        <w:rPr>
          <w:rFonts w:ascii="宋体"/>
          <w:b w:val="0"/>
          <w:bCs w:val="0"/>
          <w:kern w:val="2"/>
          <w:sz w:val="28"/>
          <w:szCs w:val="28"/>
        </w:rPr>
      </w:pPr>
      <w:r>
        <w:rPr>
          <w:rFonts w:hint="eastAsia" w:ascii="宋体" w:hAnsi="宋体" w:cs="宋体"/>
          <w:b w:val="0"/>
          <w:bCs w:val="0"/>
          <w:kern w:val="2"/>
          <w:sz w:val="28"/>
          <w:szCs w:val="28"/>
          <w:lang w:val="en-US" w:eastAsia="zh-CN"/>
        </w:rPr>
        <w:t>五</w:t>
      </w:r>
      <w:r>
        <w:rPr>
          <w:rFonts w:hint="eastAsia" w:ascii="宋体" w:hAnsi="宋体" w:cs="宋体"/>
          <w:b w:val="0"/>
          <w:bCs w:val="0"/>
          <w:kern w:val="2"/>
          <w:sz w:val="28"/>
          <w:szCs w:val="28"/>
        </w:rPr>
        <w:t>、投标人资格证明文件</w:t>
      </w:r>
      <w:bookmarkEnd w:id="96"/>
      <w:bookmarkEnd w:id="97"/>
      <w:bookmarkEnd w:id="98"/>
      <w:bookmarkEnd w:id="99"/>
    </w:p>
    <w:p w14:paraId="09CD4A5A">
      <w:pPr>
        <w:keepNext w:val="0"/>
        <w:keepLines w:val="0"/>
        <w:pageBreakBefore w:val="0"/>
        <w:widowControl w:val="0"/>
        <w:kinsoku/>
        <w:wordWrap/>
        <w:overflowPunct/>
        <w:topLinePunct w:val="0"/>
        <w:bidi w:val="0"/>
        <w:snapToGrid/>
        <w:spacing w:line="360" w:lineRule="auto"/>
        <w:ind w:firstLine="482" w:firstLineChars="200"/>
        <w:textAlignment w:val="auto"/>
        <w:rPr>
          <w:rFonts w:hAnsi="宋体"/>
          <w:b/>
          <w:color w:val="auto"/>
          <w:sz w:val="24"/>
          <w:szCs w:val="24"/>
          <w:highlight w:val="none"/>
        </w:rPr>
      </w:pPr>
      <w:r>
        <w:rPr>
          <w:rFonts w:hint="eastAsia" w:hAnsi="宋体"/>
          <w:b/>
          <w:color w:val="auto"/>
          <w:sz w:val="24"/>
          <w:szCs w:val="24"/>
          <w:highlight w:val="none"/>
        </w:rPr>
        <w:t>一、投标人有效的营业执照，或事业单位法人证书，或自然人身份证明，或其他非企业组织证明独立承担民事责任能力的文件。（原件</w:t>
      </w:r>
      <w:r>
        <w:rPr>
          <w:rFonts w:hint="eastAsia" w:hAnsi="宋体"/>
          <w:b/>
          <w:color w:val="auto"/>
          <w:sz w:val="24"/>
          <w:szCs w:val="24"/>
          <w:highlight w:val="none"/>
          <w:lang w:eastAsia="zh-CN"/>
        </w:rPr>
        <w:t>彩色</w:t>
      </w:r>
      <w:r>
        <w:rPr>
          <w:rFonts w:hint="eastAsia" w:hAnsi="宋体"/>
          <w:b/>
          <w:color w:val="auto"/>
          <w:sz w:val="24"/>
          <w:szCs w:val="24"/>
          <w:highlight w:val="none"/>
        </w:rPr>
        <w:t>扫描件）</w:t>
      </w:r>
    </w:p>
    <w:p w14:paraId="54A93FC6">
      <w:pPr>
        <w:keepNext w:val="0"/>
        <w:keepLines w:val="0"/>
        <w:pageBreakBefore w:val="0"/>
        <w:widowControl w:val="0"/>
        <w:kinsoku/>
        <w:wordWrap/>
        <w:overflowPunct/>
        <w:topLinePunct w:val="0"/>
        <w:bidi w:val="0"/>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二、投标人提供投标截止日前18个月内经第三方审计的财务报告原件扫描件，或财政部门认可的政府采购专业担保机构出具的投标担保函原件</w:t>
      </w:r>
      <w:r>
        <w:rPr>
          <w:rFonts w:hint="eastAsia" w:hAnsi="宋体"/>
          <w:b/>
          <w:color w:val="auto"/>
          <w:sz w:val="24"/>
          <w:szCs w:val="24"/>
          <w:highlight w:val="none"/>
          <w:lang w:eastAsia="zh-CN"/>
        </w:rPr>
        <w:t>彩色</w:t>
      </w:r>
      <w:r>
        <w:rPr>
          <w:rFonts w:hint="eastAsia" w:hAnsi="宋体"/>
          <w:b/>
          <w:color w:val="auto"/>
          <w:sz w:val="24"/>
          <w:szCs w:val="24"/>
          <w:highlight w:val="none"/>
        </w:rPr>
        <w:t>扫描件，或银行出具的资信证明原件</w:t>
      </w:r>
      <w:r>
        <w:rPr>
          <w:rFonts w:hint="eastAsia" w:hAnsi="宋体"/>
          <w:b/>
          <w:color w:val="auto"/>
          <w:sz w:val="24"/>
          <w:szCs w:val="24"/>
          <w:highlight w:val="none"/>
          <w:lang w:eastAsia="zh-CN"/>
        </w:rPr>
        <w:t>彩色</w:t>
      </w:r>
      <w:r>
        <w:rPr>
          <w:rFonts w:hint="eastAsia" w:hAnsi="宋体"/>
          <w:b/>
          <w:color w:val="auto"/>
          <w:sz w:val="24"/>
          <w:szCs w:val="24"/>
          <w:highlight w:val="none"/>
        </w:rPr>
        <w:t>扫描件。（以出报告日期为准）</w:t>
      </w:r>
    </w:p>
    <w:p w14:paraId="74D1D41B">
      <w:pPr>
        <w:keepNext w:val="0"/>
        <w:keepLines w:val="0"/>
        <w:pageBreakBefore w:val="0"/>
        <w:widowControl w:val="0"/>
        <w:kinsoku/>
        <w:wordWrap/>
        <w:overflowPunct/>
        <w:topLinePunct w:val="0"/>
        <w:bidi w:val="0"/>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三、投标人需提供投标截止日前缴纳的</w:t>
      </w:r>
      <w:r>
        <w:rPr>
          <w:rFonts w:hint="eastAsia" w:hAnsi="宋体"/>
          <w:b/>
          <w:color w:val="auto"/>
          <w:sz w:val="24"/>
          <w:szCs w:val="24"/>
          <w:highlight w:val="none"/>
          <w:lang w:val="en-US" w:eastAsia="zh-CN"/>
        </w:rPr>
        <w:t>6个月内</w:t>
      </w:r>
      <w:r>
        <w:rPr>
          <w:rFonts w:hint="eastAsia" w:hAnsi="宋体"/>
          <w:b/>
          <w:color w:val="auto"/>
          <w:sz w:val="24"/>
          <w:szCs w:val="24"/>
          <w:highlight w:val="none"/>
        </w:rPr>
        <w:t>任意一个月的增值税或企业所得税的凭据，依法免税的投标人，应提供相应的证明文件。（原件</w:t>
      </w:r>
      <w:r>
        <w:rPr>
          <w:rFonts w:hint="eastAsia" w:hAnsi="宋体"/>
          <w:b/>
          <w:color w:val="auto"/>
          <w:sz w:val="24"/>
          <w:szCs w:val="24"/>
          <w:highlight w:val="none"/>
          <w:lang w:eastAsia="zh-CN"/>
        </w:rPr>
        <w:t>彩色</w:t>
      </w:r>
      <w:r>
        <w:rPr>
          <w:rFonts w:hint="eastAsia" w:hAnsi="宋体"/>
          <w:b/>
          <w:color w:val="auto"/>
          <w:sz w:val="24"/>
          <w:szCs w:val="24"/>
          <w:highlight w:val="none"/>
        </w:rPr>
        <w:t>扫描件）</w:t>
      </w:r>
    </w:p>
    <w:p w14:paraId="1DA58FD1">
      <w:pPr>
        <w:keepNext w:val="0"/>
        <w:keepLines w:val="0"/>
        <w:pageBreakBefore w:val="0"/>
        <w:widowControl w:val="0"/>
        <w:kinsoku/>
        <w:wordWrap/>
        <w:overflowPunct/>
        <w:topLinePunct w:val="0"/>
        <w:bidi w:val="0"/>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四、社会保障资金缴纳记录（投标人逐月缴纳社会保障资金的，须提供投标截止日</w:t>
      </w:r>
      <w:r>
        <w:rPr>
          <w:rFonts w:hint="eastAsia" w:hAnsi="宋体"/>
          <w:b/>
          <w:bCs w:val="0"/>
          <w:color w:val="auto"/>
          <w:sz w:val="24"/>
          <w:szCs w:val="24"/>
          <w:highlight w:val="none"/>
        </w:rPr>
        <w:t>前</w:t>
      </w:r>
      <w:r>
        <w:rPr>
          <w:rFonts w:hint="eastAsia" w:hAnsi="宋体"/>
          <w:b/>
          <w:bCs w:val="0"/>
          <w:color w:val="auto"/>
          <w:sz w:val="24"/>
          <w:szCs w:val="24"/>
          <w:highlight w:val="none"/>
          <w:lang w:val="en-US" w:eastAsia="zh-CN"/>
        </w:rPr>
        <w:t>6个月内</w:t>
      </w:r>
      <w:r>
        <w:rPr>
          <w:rFonts w:hint="eastAsia" w:hAnsi="宋体"/>
          <w:b/>
          <w:bCs w:val="0"/>
          <w:color w:val="auto"/>
          <w:sz w:val="24"/>
          <w:szCs w:val="24"/>
          <w:highlight w:val="none"/>
        </w:rPr>
        <w:t>至</w:t>
      </w:r>
      <w:r>
        <w:rPr>
          <w:rFonts w:hint="eastAsia" w:hAnsi="宋体"/>
          <w:b/>
          <w:color w:val="auto"/>
          <w:sz w:val="24"/>
          <w:szCs w:val="24"/>
          <w:highlight w:val="none"/>
        </w:rPr>
        <w:t>少一个月的缴纳社会保障资金的入账票据凭证原件</w:t>
      </w:r>
      <w:r>
        <w:rPr>
          <w:rFonts w:hint="eastAsia" w:hAnsi="宋体"/>
          <w:b/>
          <w:color w:val="auto"/>
          <w:sz w:val="24"/>
          <w:szCs w:val="24"/>
          <w:highlight w:val="none"/>
          <w:lang w:eastAsia="zh-CN"/>
        </w:rPr>
        <w:t>彩色</w:t>
      </w:r>
      <w:r>
        <w:rPr>
          <w:rFonts w:hint="eastAsia" w:hAnsi="宋体"/>
          <w:b/>
          <w:color w:val="auto"/>
          <w:sz w:val="24"/>
          <w:szCs w:val="24"/>
          <w:highlight w:val="none"/>
        </w:rPr>
        <w:t>扫描件，投标人逐年缴纳社会保障资金的，须提供投标截止日前上年度缴纳社会保障资金的入账票据凭证原件</w:t>
      </w:r>
      <w:r>
        <w:rPr>
          <w:rFonts w:hint="eastAsia" w:hAnsi="宋体"/>
          <w:b/>
          <w:color w:val="auto"/>
          <w:sz w:val="24"/>
          <w:szCs w:val="24"/>
          <w:highlight w:val="none"/>
          <w:lang w:eastAsia="zh-CN"/>
        </w:rPr>
        <w:t>彩色</w:t>
      </w:r>
      <w:r>
        <w:rPr>
          <w:rFonts w:hint="eastAsia" w:hAnsi="宋体"/>
          <w:b/>
          <w:color w:val="auto"/>
          <w:sz w:val="24"/>
          <w:szCs w:val="24"/>
          <w:highlight w:val="none"/>
        </w:rPr>
        <w:t>扫描件，缴纳社会保障资金的入账票据凭证原件</w:t>
      </w:r>
      <w:r>
        <w:rPr>
          <w:rFonts w:hint="eastAsia" w:hAnsi="宋体"/>
          <w:b/>
          <w:color w:val="auto"/>
          <w:sz w:val="24"/>
          <w:szCs w:val="24"/>
          <w:highlight w:val="none"/>
          <w:lang w:eastAsia="zh-CN"/>
        </w:rPr>
        <w:t>彩色</w:t>
      </w:r>
      <w:r>
        <w:rPr>
          <w:rFonts w:hint="eastAsia" w:hAnsi="宋体"/>
          <w:b/>
          <w:color w:val="auto"/>
          <w:sz w:val="24"/>
          <w:szCs w:val="24"/>
          <w:highlight w:val="none"/>
        </w:rPr>
        <w:t>扫描件）。</w:t>
      </w:r>
    </w:p>
    <w:p w14:paraId="42E74A67">
      <w:pPr>
        <w:pStyle w:val="111"/>
        <w:keepNext w:val="0"/>
        <w:keepLines w:val="0"/>
        <w:pageBreakBefore w:val="0"/>
        <w:widowControl w:val="0"/>
        <w:kinsoku/>
        <w:wordWrap/>
        <w:overflowPunct/>
        <w:topLinePunct w:val="0"/>
        <w:bidi w:val="0"/>
        <w:snapToGrid/>
        <w:spacing w:line="360" w:lineRule="auto"/>
        <w:ind w:firstLine="482" w:firstLineChars="200"/>
        <w:jc w:val="both"/>
        <w:textAlignment w:val="auto"/>
        <w:rPr>
          <w:rFonts w:ascii="Times New Roman" w:hAnsi="Times New Roman" w:eastAsia="宋体" w:cs="Times New Roman"/>
          <w:color w:val="auto"/>
          <w:highlight w:val="none"/>
        </w:rPr>
      </w:pPr>
      <w:r>
        <w:rPr>
          <w:rFonts w:hint="eastAsia" w:ascii="宋体" w:hAnsi="宋体" w:eastAsia="宋体" w:cs="Times New Roman"/>
          <w:b/>
          <w:color w:val="auto"/>
          <w:sz w:val="24"/>
          <w:szCs w:val="24"/>
          <w:highlight w:val="none"/>
          <w:lang w:val="en-US" w:eastAsia="zh-CN" w:bidi="ar-SA"/>
        </w:rPr>
        <w:t>五、参加政府采购活动前3年内在经营活动中没有重大违法记录的书面声明（原件彩色扫描件）。</w:t>
      </w:r>
      <w:r>
        <w:rPr>
          <w:rFonts w:hint="eastAsia" w:ascii="宋体" w:hAnsi="宋体"/>
          <w:b/>
          <w:color w:val="auto"/>
          <w:highlight w:val="none"/>
        </w:rPr>
        <w:t>（</w:t>
      </w:r>
      <w:r>
        <w:rPr>
          <w:rFonts w:hint="eastAsia" w:ascii="Times New Roman" w:hAnsi="Times New Roman" w:eastAsia="宋体" w:cs="Times New Roman"/>
          <w:color w:val="auto"/>
          <w:highlight w:val="none"/>
        </w:rPr>
        <w:t>截至开标日成立不足3年的供应商可提供自成立以来无重大违法记录的书面声明）。</w:t>
      </w:r>
    </w:p>
    <w:p w14:paraId="2FBCB672">
      <w:pPr>
        <w:ind w:firstLine="179"/>
        <w:jc w:val="center"/>
        <w:rPr>
          <w:rFonts w:hAnsi="宋体"/>
          <w:bCs/>
          <w:color w:val="auto"/>
          <w:sz w:val="24"/>
          <w:szCs w:val="24"/>
          <w:highlight w:val="none"/>
        </w:rPr>
      </w:pPr>
    </w:p>
    <w:p w14:paraId="0D908D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jc w:val="center"/>
        <w:textAlignment w:val="auto"/>
        <w:outlineLvl w:val="9"/>
        <w:rPr>
          <w:rFonts w:hint="eastAsia" w:hAnsi="宋体"/>
          <w:bCs/>
          <w:color w:val="auto"/>
          <w:sz w:val="24"/>
          <w:szCs w:val="24"/>
          <w:highlight w:val="none"/>
        </w:rPr>
      </w:pPr>
      <w:r>
        <w:rPr>
          <w:rFonts w:hint="eastAsia" w:hAnsi="宋体"/>
          <w:bCs/>
          <w:color w:val="auto"/>
          <w:sz w:val="24"/>
          <w:szCs w:val="24"/>
          <w:highlight w:val="none"/>
        </w:rPr>
        <w:t>无</w:t>
      </w:r>
      <w:r>
        <w:rPr>
          <w:rFonts w:hint="eastAsia" w:hAnsi="宋体"/>
          <w:bCs/>
          <w:color w:val="auto"/>
          <w:sz w:val="24"/>
          <w:szCs w:val="24"/>
          <w:highlight w:val="none"/>
          <w:lang w:eastAsia="zh-CN"/>
        </w:rPr>
        <w:t>重大</w:t>
      </w:r>
      <w:r>
        <w:rPr>
          <w:rFonts w:hint="eastAsia" w:hAnsi="宋体"/>
          <w:bCs/>
          <w:color w:val="auto"/>
          <w:sz w:val="24"/>
          <w:szCs w:val="24"/>
          <w:highlight w:val="none"/>
        </w:rPr>
        <w:t>违法记录声明（格式）</w:t>
      </w:r>
    </w:p>
    <w:p w14:paraId="049E0E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Ansi="宋体"/>
          <w:bCs/>
          <w:color w:val="auto"/>
          <w:sz w:val="24"/>
          <w:szCs w:val="24"/>
          <w:highlight w:val="none"/>
        </w:rPr>
      </w:pP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lang w:val="en-US" w:eastAsia="zh-CN"/>
        </w:rPr>
        <w:t>（采购人名称）</w:t>
      </w:r>
      <w:r>
        <w:rPr>
          <w:rFonts w:hint="eastAsia" w:hAnsi="宋体"/>
          <w:bCs/>
          <w:color w:val="auto"/>
          <w:sz w:val="24"/>
          <w:szCs w:val="24"/>
          <w:highlight w:val="none"/>
        </w:rPr>
        <w:t>：</w:t>
      </w:r>
    </w:p>
    <w:p w14:paraId="62FBDE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hAnsi="宋体"/>
          <w:bCs/>
          <w:color w:val="auto"/>
          <w:sz w:val="24"/>
          <w:szCs w:val="24"/>
          <w:highlight w:val="none"/>
        </w:rPr>
      </w:pPr>
      <w:r>
        <w:rPr>
          <w:rFonts w:hint="eastAsia" w:hAnsi="宋体"/>
          <w:bCs/>
          <w:color w:val="auto"/>
          <w:sz w:val="24"/>
          <w:szCs w:val="24"/>
          <w:highlight w:val="none"/>
        </w:rPr>
        <w:t xml:space="preserve">    本投标人现参与</w:t>
      </w:r>
      <w:r>
        <w:rPr>
          <w:rFonts w:hint="default" w:hAnsi="宋体"/>
          <w:bCs/>
          <w:color w:val="auto"/>
          <w:sz w:val="24"/>
          <w:szCs w:val="24"/>
          <w:highlight w:val="none"/>
          <w:u w:val="single"/>
          <w:lang w:val="en"/>
        </w:rPr>
        <w:t xml:space="preserve">                 </w:t>
      </w:r>
      <w:r>
        <w:rPr>
          <w:rFonts w:hint="eastAsia" w:hAnsi="宋体"/>
          <w:bCs/>
          <w:color w:val="auto"/>
          <w:sz w:val="24"/>
          <w:szCs w:val="24"/>
          <w:highlight w:val="none"/>
        </w:rPr>
        <w:t>项目（招标文件编号：</w:t>
      </w:r>
      <w:r>
        <w:rPr>
          <w:rFonts w:hint="default" w:hAnsi="宋体"/>
          <w:bCs/>
          <w:color w:val="auto"/>
          <w:sz w:val="24"/>
          <w:szCs w:val="24"/>
          <w:highlight w:val="none"/>
          <w:u w:val="single"/>
          <w:lang w:val="en"/>
        </w:rPr>
        <w:t xml:space="preserve">       </w:t>
      </w:r>
      <w:r>
        <w:rPr>
          <w:rFonts w:hint="eastAsia" w:hAnsi="宋体"/>
          <w:bCs/>
          <w:color w:val="auto"/>
          <w:sz w:val="24"/>
          <w:szCs w:val="24"/>
          <w:highlight w:val="none"/>
        </w:rPr>
        <w:t>）的采购活动，在参加本次政府采购活动前三年内，在经营活动中没有重大违法记录。</w:t>
      </w:r>
    </w:p>
    <w:p w14:paraId="7920BE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hAnsi="宋体"/>
          <w:bCs/>
          <w:color w:val="auto"/>
          <w:sz w:val="24"/>
          <w:szCs w:val="24"/>
          <w:highlight w:val="none"/>
        </w:rPr>
      </w:pPr>
      <w:r>
        <w:rPr>
          <w:rFonts w:hint="eastAsia" w:hAnsi="宋体"/>
          <w:bCs/>
          <w:color w:val="auto"/>
          <w:sz w:val="24"/>
          <w:szCs w:val="24"/>
          <w:highlight w:val="none"/>
        </w:rPr>
        <w:t xml:space="preserve">   如上述声明不真实，愿意按照政府采购有关法律法规的规定接受处罚。</w:t>
      </w:r>
    </w:p>
    <w:p w14:paraId="3FB578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hAnsi="宋体"/>
          <w:bCs/>
          <w:color w:val="auto"/>
          <w:sz w:val="24"/>
          <w:szCs w:val="24"/>
          <w:highlight w:val="none"/>
        </w:rPr>
      </w:pPr>
      <w:r>
        <w:rPr>
          <w:rFonts w:hint="eastAsia" w:hAnsi="宋体"/>
          <w:bCs/>
          <w:color w:val="auto"/>
          <w:sz w:val="24"/>
          <w:szCs w:val="24"/>
          <w:highlight w:val="none"/>
        </w:rPr>
        <w:t xml:space="preserve">   特此声明。</w:t>
      </w:r>
    </w:p>
    <w:p w14:paraId="76E96888">
      <w:pPr>
        <w:ind w:firstLine="179"/>
        <w:rPr>
          <w:rFonts w:hAnsi="宋体"/>
          <w:bCs/>
          <w:color w:val="auto"/>
          <w:sz w:val="24"/>
          <w:szCs w:val="24"/>
          <w:highlight w:val="none"/>
          <w:u w:val="single"/>
        </w:rPr>
      </w:pP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投标人（</w:t>
      </w:r>
      <w:r>
        <w:rPr>
          <w:rFonts w:hint="eastAsia" w:hAnsi="宋体"/>
          <w:bCs/>
          <w:color w:val="auto"/>
          <w:sz w:val="24"/>
          <w:szCs w:val="24"/>
          <w:highlight w:val="none"/>
          <w:lang w:eastAsia="zh-CN"/>
        </w:rPr>
        <w:t>公</w:t>
      </w:r>
      <w:r>
        <w:rPr>
          <w:rFonts w:hint="eastAsia" w:hAnsi="宋体"/>
          <w:bCs/>
          <w:color w:val="auto"/>
          <w:sz w:val="24"/>
          <w:szCs w:val="24"/>
          <w:highlight w:val="none"/>
        </w:rPr>
        <w:t>章）：</w:t>
      </w:r>
    </w:p>
    <w:p w14:paraId="12BF0726">
      <w:pPr>
        <w:ind w:firstLine="179"/>
        <w:rPr>
          <w:rFonts w:hAnsi="宋体"/>
          <w:bCs/>
          <w:color w:val="auto"/>
          <w:sz w:val="24"/>
          <w:szCs w:val="24"/>
          <w:highlight w:val="none"/>
        </w:rPr>
      </w:pPr>
      <w:r>
        <w:rPr>
          <w:rFonts w:hint="eastAsia" w:hAnsi="宋体"/>
          <w:bCs/>
          <w:color w:val="auto"/>
          <w:sz w:val="24"/>
          <w:szCs w:val="24"/>
          <w:highlight w:val="none"/>
        </w:rPr>
        <w:t xml:space="preserve">  </w:t>
      </w: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年     月     日</w:t>
      </w:r>
    </w:p>
    <w:p w14:paraId="2D61167E">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w:t>
      </w:r>
      <w:r>
        <w:rPr>
          <w:rFonts w:hint="default" w:hAnsi="宋体"/>
          <w:b/>
          <w:color w:val="auto"/>
          <w:sz w:val="24"/>
          <w:szCs w:val="24"/>
          <w:highlight w:val="none"/>
          <w:lang w:val="en"/>
        </w:rPr>
        <w:t xml:space="preserve"> </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六、信用记录：供应商未被列入“信用中国”网站(www.creditchina.gov.cn)记录失信被执行人或重大税收违法案件当事人名单；不处于中国政府采购网(www.ccgp.gov.cn)政府采购严重违法失信行为记录名单中的禁止参加政府采购活动期间的方可参加本项目的投标。投标截止日当天，由资格审查小组根据以上要求对各供应商信用记录进行查询，有以上行为的视为无效投标。（投标人无需在其资格证明文件中提供信用记录的查询结果）</w:t>
      </w:r>
    </w:p>
    <w:p w14:paraId="02365D13">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七、法定代表人身份证明（原件</w:t>
      </w:r>
      <w:r>
        <w:rPr>
          <w:rFonts w:hint="eastAsia" w:hAnsi="宋体"/>
          <w:b/>
          <w:color w:val="auto"/>
          <w:sz w:val="24"/>
          <w:szCs w:val="24"/>
          <w:highlight w:val="none"/>
          <w:lang w:eastAsia="zh-CN"/>
        </w:rPr>
        <w:t>彩色</w:t>
      </w:r>
      <w:r>
        <w:rPr>
          <w:rFonts w:hint="eastAsia" w:hAnsi="宋体"/>
          <w:b/>
          <w:color w:val="auto"/>
          <w:sz w:val="24"/>
          <w:szCs w:val="24"/>
          <w:highlight w:val="none"/>
        </w:rPr>
        <w:t>扫描件）或法定代表人授权书（原件</w:t>
      </w:r>
      <w:r>
        <w:rPr>
          <w:rFonts w:hint="eastAsia" w:hAnsi="宋体"/>
          <w:b/>
          <w:color w:val="auto"/>
          <w:sz w:val="24"/>
          <w:szCs w:val="24"/>
          <w:highlight w:val="none"/>
          <w:lang w:eastAsia="zh-CN"/>
        </w:rPr>
        <w:t>彩色</w:t>
      </w:r>
      <w:r>
        <w:rPr>
          <w:rFonts w:hint="eastAsia" w:hAnsi="宋体"/>
          <w:b/>
          <w:color w:val="auto"/>
          <w:sz w:val="24"/>
          <w:szCs w:val="24"/>
          <w:highlight w:val="none"/>
        </w:rPr>
        <w:t>扫描件）</w:t>
      </w:r>
    </w:p>
    <w:p w14:paraId="11EC9679">
      <w:pPr>
        <w:spacing w:line="360" w:lineRule="auto"/>
        <w:jc w:val="center"/>
        <w:rPr>
          <w:rFonts w:hint="eastAsia" w:hAnsi="宋体"/>
          <w:b/>
          <w:color w:val="auto"/>
          <w:sz w:val="24"/>
          <w:szCs w:val="24"/>
          <w:highlight w:val="none"/>
        </w:rPr>
      </w:pPr>
    </w:p>
    <w:p w14:paraId="17442773">
      <w:pPr>
        <w:keepNext w:val="0"/>
        <w:keepLines w:val="0"/>
        <w:pageBreakBefore w:val="0"/>
        <w:widowControl w:val="0"/>
        <w:kinsoku/>
        <w:wordWrap/>
        <w:overflowPunct/>
        <w:topLinePunct w:val="0"/>
        <w:bidi w:val="0"/>
        <w:spacing w:line="360" w:lineRule="auto"/>
        <w:jc w:val="center"/>
        <w:textAlignment w:val="auto"/>
        <w:rPr>
          <w:rFonts w:hAnsi="宋体"/>
          <w:b/>
          <w:color w:val="auto"/>
          <w:sz w:val="24"/>
          <w:szCs w:val="24"/>
          <w:highlight w:val="none"/>
        </w:rPr>
      </w:pPr>
      <w:r>
        <w:rPr>
          <w:rFonts w:hint="eastAsia" w:hAnsi="宋体"/>
          <w:b/>
          <w:color w:val="auto"/>
          <w:sz w:val="24"/>
          <w:szCs w:val="24"/>
          <w:highlight w:val="none"/>
        </w:rPr>
        <w:t>法定代表人身份证明(法定代表人参加投标)</w:t>
      </w:r>
    </w:p>
    <w:p w14:paraId="65E13923">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olor w:val="auto"/>
          <w:sz w:val="24"/>
          <w:szCs w:val="24"/>
          <w:highlight w:val="none"/>
        </w:rPr>
        <w:t>投标人</w:t>
      </w:r>
      <w:r>
        <w:rPr>
          <w:rFonts w:hint="eastAsia" w:hAnsi="宋体" w:cs="宋体"/>
          <w:color w:val="auto"/>
          <w:sz w:val="24"/>
          <w:szCs w:val="24"/>
          <w:highlight w:val="none"/>
        </w:rPr>
        <w:t>名称：</w:t>
      </w:r>
    </w:p>
    <w:p w14:paraId="61C2A995">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注册号：</w:t>
      </w:r>
    </w:p>
    <w:p w14:paraId="085D7EF3">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注册地址：</w:t>
      </w:r>
    </w:p>
    <w:p w14:paraId="4B9C47D0">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成立时间： 年 月 日</w:t>
      </w:r>
    </w:p>
    <w:p w14:paraId="22E18AA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u w:val="single"/>
        </w:rPr>
      </w:pPr>
      <w:r>
        <w:rPr>
          <w:rFonts w:hint="eastAsia" w:hAnsi="宋体" w:cs="宋体"/>
          <w:color w:val="auto"/>
          <w:sz w:val="24"/>
          <w:szCs w:val="24"/>
          <w:highlight w:val="none"/>
        </w:rPr>
        <w:t>经营期限：</w:t>
      </w:r>
    </w:p>
    <w:p w14:paraId="622F8B7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u w:val="single"/>
        </w:rPr>
      </w:pPr>
      <w:r>
        <w:rPr>
          <w:rFonts w:hint="eastAsia" w:hAnsi="宋体" w:cs="宋体"/>
          <w:color w:val="auto"/>
          <w:sz w:val="24"/>
          <w:szCs w:val="24"/>
          <w:highlight w:val="none"/>
        </w:rPr>
        <w:t>经营范围：</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主营：</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；兼营：</w:t>
      </w:r>
      <w:r>
        <w:rPr>
          <w:rFonts w:hint="eastAsia" w:hAnsi="宋体" w:cs="宋体"/>
          <w:color w:val="auto"/>
          <w:sz w:val="24"/>
          <w:szCs w:val="24"/>
          <w:highlight w:val="none"/>
          <w:u w:val="single"/>
          <w:lang w:val="en-US" w:eastAsia="zh-CN"/>
        </w:rPr>
        <w:t xml:space="preserve">          </w:t>
      </w:r>
    </w:p>
    <w:p w14:paraId="3EDB2CE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性别：</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年龄：</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系</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w:t>
      </w:r>
      <w:r>
        <w:rPr>
          <w:rFonts w:hint="eastAsia" w:hAnsi="宋体"/>
          <w:color w:val="auto"/>
          <w:sz w:val="24"/>
          <w:szCs w:val="24"/>
          <w:highlight w:val="none"/>
        </w:rPr>
        <w:t>投标人</w:t>
      </w:r>
      <w:r>
        <w:rPr>
          <w:rFonts w:hint="eastAsia" w:hAnsi="宋体" w:cs="宋体"/>
          <w:color w:val="auto"/>
          <w:sz w:val="24"/>
          <w:szCs w:val="24"/>
          <w:highlight w:val="none"/>
        </w:rPr>
        <w:t>名称）的法定代表人。</w:t>
      </w:r>
    </w:p>
    <w:p w14:paraId="5516608E">
      <w:pPr>
        <w:keepNext w:val="0"/>
        <w:keepLines w:val="0"/>
        <w:pageBreakBefore w:val="0"/>
        <w:widowControl w:val="0"/>
        <w:kinsoku/>
        <w:wordWrap/>
        <w:overflowPunct/>
        <w:topLinePunct w:val="0"/>
        <w:autoSpaceDE w:val="0"/>
        <w:autoSpaceDN w:val="0"/>
        <w:bidi w:val="0"/>
        <w:adjustRightInd w:val="0"/>
        <w:snapToGrid w:val="0"/>
        <w:spacing w:line="360" w:lineRule="auto"/>
        <w:ind w:firstLine="360" w:firstLineChars="150"/>
        <w:jc w:val="left"/>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特此证明</w:t>
      </w:r>
    </w:p>
    <w:p w14:paraId="3509D983">
      <w:pPr>
        <w:autoSpaceDE w:val="0"/>
        <w:autoSpaceDN w:val="0"/>
        <w:adjustRightInd w:val="0"/>
        <w:snapToGrid w:val="0"/>
        <w:spacing w:line="360" w:lineRule="auto"/>
        <w:ind w:firstLine="480" w:firstLineChars="200"/>
        <w:jc w:val="left"/>
        <w:rPr>
          <w:rFonts w:hint="eastAsia" w:hAnsi="宋体"/>
          <w:color w:val="auto"/>
          <w:sz w:val="24"/>
          <w:szCs w:val="24"/>
          <w:highlight w:val="none"/>
          <w:lang w:eastAsia="zh-CN"/>
        </w:rPr>
      </w:pPr>
    </w:p>
    <w:p w14:paraId="5370B482">
      <w:pPr>
        <w:autoSpaceDE w:val="0"/>
        <w:autoSpaceDN w:val="0"/>
        <w:adjustRightInd w:val="0"/>
        <w:snapToGrid w:val="0"/>
        <w:spacing w:line="360" w:lineRule="auto"/>
        <w:ind w:firstLine="480" w:firstLineChars="200"/>
        <w:jc w:val="left"/>
        <w:rPr>
          <w:rFonts w:hAnsi="宋体"/>
          <w:color w:val="auto"/>
          <w:sz w:val="24"/>
          <w:szCs w:val="24"/>
          <w:highlight w:val="none"/>
        </w:rPr>
      </w:pPr>
      <w:r>
        <w:rPr>
          <w:rFonts w:hint="eastAsia" w:hAnsi="宋体"/>
          <w:color w:val="auto"/>
          <w:sz w:val="24"/>
          <w:szCs w:val="24"/>
          <w:highlight w:val="none"/>
          <w:lang w:eastAsia="zh-CN"/>
        </w:rPr>
        <w:t>附件：</w:t>
      </w:r>
      <w:r>
        <w:rPr>
          <w:rFonts w:hint="eastAsia" w:hAnsi="宋体"/>
          <w:color w:val="auto"/>
          <w:sz w:val="24"/>
          <w:szCs w:val="24"/>
          <w:highlight w:val="none"/>
        </w:rPr>
        <w:t>法定代表人身份证</w:t>
      </w:r>
      <w:r>
        <w:rPr>
          <w:rFonts w:hint="eastAsia" w:hAnsi="宋体"/>
          <w:color w:val="auto"/>
          <w:sz w:val="24"/>
          <w:szCs w:val="24"/>
          <w:highlight w:val="none"/>
          <w:lang w:eastAsia="zh-CN"/>
        </w:rPr>
        <w:t>原件</w:t>
      </w:r>
      <w:r>
        <w:rPr>
          <w:rFonts w:hint="eastAsia" w:hAnsi="宋体"/>
          <w:color w:val="auto"/>
          <w:sz w:val="24"/>
          <w:szCs w:val="24"/>
          <w:highlight w:val="none"/>
        </w:rPr>
        <w:t>（正</w:t>
      </w:r>
      <w:r>
        <w:rPr>
          <w:rFonts w:hint="eastAsia" w:hAnsi="宋体"/>
          <w:color w:val="auto"/>
          <w:sz w:val="24"/>
          <w:szCs w:val="24"/>
          <w:highlight w:val="none"/>
          <w:lang w:eastAsia="zh-CN"/>
        </w:rPr>
        <w:t>、</w:t>
      </w:r>
      <w:r>
        <w:rPr>
          <w:rFonts w:hint="eastAsia" w:hAnsi="宋体"/>
          <w:color w:val="auto"/>
          <w:sz w:val="24"/>
          <w:szCs w:val="24"/>
          <w:highlight w:val="none"/>
        </w:rPr>
        <w:t>反面）</w:t>
      </w:r>
      <w:r>
        <w:rPr>
          <w:rFonts w:hint="eastAsia" w:hAnsi="宋体"/>
          <w:color w:val="auto"/>
          <w:sz w:val="24"/>
          <w:szCs w:val="24"/>
          <w:highlight w:val="none"/>
          <w:lang w:eastAsia="zh-CN"/>
        </w:rPr>
        <w:t>彩色扫描件</w:t>
      </w:r>
    </w:p>
    <w:p w14:paraId="14A67323">
      <w:pPr>
        <w:spacing w:line="360" w:lineRule="auto"/>
        <w:ind w:firstLine="3360" w:firstLineChars="1400"/>
        <w:rPr>
          <w:rFonts w:hint="eastAsia" w:hAnsi="宋体"/>
          <w:color w:val="auto"/>
          <w:sz w:val="24"/>
          <w:szCs w:val="24"/>
          <w:highlight w:val="none"/>
        </w:rPr>
      </w:pPr>
    </w:p>
    <w:p w14:paraId="6891D548">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投标人（公章）：</w:t>
      </w:r>
    </w:p>
    <w:p w14:paraId="7B944C19">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法定代表人（签字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1FBECE62">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日   期：</w:t>
      </w:r>
      <w:r>
        <w:rPr>
          <w:rFonts w:hAnsi="宋体"/>
          <w:color w:val="auto"/>
          <w:sz w:val="24"/>
          <w:szCs w:val="24"/>
          <w:highlight w:val="none"/>
        </w:rPr>
        <w:t>年</w:t>
      </w:r>
      <w:r>
        <w:rPr>
          <w:rFonts w:hint="eastAsia" w:hAnsi="宋体"/>
          <w:color w:val="auto"/>
          <w:sz w:val="24"/>
          <w:szCs w:val="24"/>
          <w:highlight w:val="none"/>
          <w:lang w:val="en-US" w:eastAsia="zh-CN"/>
        </w:rPr>
        <w:t xml:space="preserve"> </w:t>
      </w:r>
      <w:r>
        <w:rPr>
          <w:rFonts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14:paraId="17449B09">
      <w:pPr>
        <w:spacing w:line="360" w:lineRule="auto"/>
        <w:jc w:val="center"/>
        <w:rPr>
          <w:rFonts w:hAnsi="宋体"/>
          <w:b/>
          <w:color w:val="auto"/>
          <w:sz w:val="24"/>
          <w:szCs w:val="24"/>
          <w:highlight w:val="none"/>
        </w:rPr>
      </w:pPr>
    </w:p>
    <w:p w14:paraId="66EE1D8E">
      <w:pPr>
        <w:spacing w:line="360" w:lineRule="auto"/>
        <w:jc w:val="center"/>
        <w:rPr>
          <w:rFonts w:hint="eastAsia" w:hAnsi="宋体"/>
          <w:b/>
          <w:color w:val="auto"/>
          <w:sz w:val="24"/>
          <w:szCs w:val="24"/>
          <w:highlight w:val="none"/>
        </w:rPr>
      </w:pPr>
    </w:p>
    <w:p w14:paraId="76BE1A97">
      <w:pPr>
        <w:spacing w:line="360" w:lineRule="auto"/>
        <w:jc w:val="center"/>
        <w:rPr>
          <w:rFonts w:hint="eastAsia" w:hAnsi="宋体"/>
          <w:b/>
          <w:color w:val="auto"/>
          <w:sz w:val="24"/>
          <w:szCs w:val="24"/>
          <w:highlight w:val="none"/>
        </w:rPr>
      </w:pPr>
      <w:r>
        <w:rPr>
          <w:rFonts w:hint="eastAsia" w:hAnsi="宋体"/>
          <w:b/>
          <w:color w:val="auto"/>
          <w:sz w:val="24"/>
          <w:szCs w:val="24"/>
          <w:highlight w:val="none"/>
        </w:rPr>
        <w:t>法定代表人授权书</w:t>
      </w:r>
      <w:r>
        <w:rPr>
          <w:rFonts w:hint="eastAsia" w:hAnsi="宋体"/>
          <w:b/>
          <w:color w:val="auto"/>
          <w:sz w:val="24"/>
          <w:szCs w:val="24"/>
          <w:highlight w:val="none"/>
          <w:lang w:eastAsia="zh-CN"/>
        </w:rPr>
        <w:t>（授权代表</w:t>
      </w:r>
      <w:r>
        <w:rPr>
          <w:rFonts w:hint="eastAsia" w:hAnsi="宋体"/>
          <w:b/>
          <w:color w:val="auto"/>
          <w:sz w:val="24"/>
          <w:szCs w:val="24"/>
          <w:highlight w:val="none"/>
        </w:rPr>
        <w:t>参加投标</w:t>
      </w:r>
      <w:r>
        <w:rPr>
          <w:rFonts w:hint="eastAsia" w:hAnsi="宋体"/>
          <w:b/>
          <w:color w:val="auto"/>
          <w:sz w:val="24"/>
          <w:szCs w:val="24"/>
          <w:highlight w:val="none"/>
          <w:lang w:eastAsia="zh-CN"/>
        </w:rPr>
        <w:t>）</w:t>
      </w:r>
    </w:p>
    <w:p w14:paraId="32AF0C8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olor w:val="auto"/>
          <w:sz w:val="24"/>
          <w:szCs w:val="24"/>
          <w:highlight w:val="none"/>
        </w:rPr>
      </w:pPr>
      <w:r>
        <w:rPr>
          <w:rFonts w:hint="eastAsia" w:hAnsi="宋体"/>
          <w:color w:val="auto"/>
          <w:sz w:val="24"/>
          <w:szCs w:val="24"/>
          <w:highlight w:val="none"/>
        </w:rPr>
        <w:t>__________________（采购人名称）：</w:t>
      </w:r>
    </w:p>
    <w:p w14:paraId="4007E54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rPr>
      </w:pPr>
      <w:r>
        <w:rPr>
          <w:rFonts w:hint="eastAsia" w:hAnsi="宋体"/>
          <w:color w:val="auto"/>
          <w:sz w:val="24"/>
          <w:szCs w:val="24"/>
          <w:highlight w:val="none"/>
        </w:rPr>
        <w:t>本授权声明：</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（投标人名称）</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（法定代表人姓名、职务）授权</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（被授权人姓名、职务）为我方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 项目（招标文件编号</w:t>
      </w:r>
      <w:r>
        <w:rPr>
          <w:rFonts w:hint="eastAsia" w:hAnsi="宋体"/>
          <w:color w:val="auto"/>
          <w:sz w:val="24"/>
          <w:szCs w:val="24"/>
          <w:highlight w:val="none"/>
          <w:lang w:val="en-US" w:eastAsia="zh-CN"/>
        </w:rPr>
        <w:t>:</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）投标活动的合法代表，以我方名义全权处理该项目有关投标、签订合同以及执行合同等一切事宜。</w:t>
      </w:r>
    </w:p>
    <w:p w14:paraId="21F2D84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szCs w:val="24"/>
          <w:highlight w:val="none"/>
        </w:rPr>
      </w:pPr>
      <w:r>
        <w:rPr>
          <w:rFonts w:hint="eastAsia" w:hAnsi="宋体"/>
          <w:color w:val="auto"/>
          <w:sz w:val="24"/>
          <w:szCs w:val="24"/>
          <w:highlight w:val="none"/>
        </w:rPr>
        <w:t>特此声明。</w:t>
      </w:r>
    </w:p>
    <w:p w14:paraId="6954AD5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hAnsi="宋体"/>
          <w:color w:val="auto"/>
          <w:sz w:val="24"/>
          <w:szCs w:val="24"/>
          <w:highlight w:val="none"/>
        </w:rPr>
      </w:pPr>
      <w:r>
        <w:rPr>
          <w:rFonts w:hint="eastAsia"/>
          <w:color w:val="auto"/>
          <w:sz w:val="24"/>
          <w:szCs w:val="24"/>
          <w:highlight w:val="none"/>
          <w:lang w:val="en-US" w:eastAsia="zh-CN"/>
        </w:rPr>
        <w:t xml:space="preserve">  </w:t>
      </w:r>
      <w:r>
        <w:rPr>
          <w:rFonts w:hint="eastAsia" w:hAnsi="宋体"/>
          <w:color w:val="auto"/>
          <w:sz w:val="24"/>
          <w:szCs w:val="24"/>
          <w:highlight w:val="none"/>
          <w:lang w:val="en-US" w:eastAsia="zh-CN"/>
        </w:rPr>
        <w:t>附：</w:t>
      </w:r>
      <w:r>
        <w:rPr>
          <w:rFonts w:hint="eastAsia" w:hAnsi="宋体"/>
          <w:color w:val="auto"/>
          <w:sz w:val="24"/>
          <w:szCs w:val="24"/>
          <w:highlight w:val="none"/>
        </w:rPr>
        <w:t>法定代表人身份证</w:t>
      </w:r>
      <w:r>
        <w:rPr>
          <w:rFonts w:hint="eastAsia" w:hAnsi="宋体"/>
          <w:color w:val="auto"/>
          <w:sz w:val="24"/>
          <w:szCs w:val="24"/>
          <w:highlight w:val="none"/>
          <w:lang w:eastAsia="zh-CN"/>
        </w:rPr>
        <w:t>和授权代表</w:t>
      </w:r>
      <w:r>
        <w:rPr>
          <w:rFonts w:hint="eastAsia" w:hAnsi="宋体"/>
          <w:color w:val="auto"/>
          <w:sz w:val="24"/>
          <w:szCs w:val="24"/>
          <w:highlight w:val="none"/>
        </w:rPr>
        <w:t>身份证</w:t>
      </w:r>
      <w:r>
        <w:rPr>
          <w:rFonts w:hint="eastAsia" w:hAnsi="宋体"/>
          <w:color w:val="auto"/>
          <w:sz w:val="24"/>
          <w:szCs w:val="24"/>
          <w:highlight w:val="none"/>
          <w:lang w:eastAsia="zh-CN"/>
        </w:rPr>
        <w:t>原件</w:t>
      </w:r>
      <w:r>
        <w:rPr>
          <w:rFonts w:hint="eastAsia" w:hAnsi="宋体"/>
          <w:color w:val="auto"/>
          <w:sz w:val="24"/>
          <w:szCs w:val="24"/>
          <w:highlight w:val="none"/>
        </w:rPr>
        <w:t>（正</w:t>
      </w:r>
      <w:r>
        <w:rPr>
          <w:rFonts w:hint="eastAsia" w:hAnsi="宋体"/>
          <w:color w:val="auto"/>
          <w:sz w:val="24"/>
          <w:szCs w:val="24"/>
          <w:highlight w:val="none"/>
          <w:lang w:eastAsia="zh-CN"/>
        </w:rPr>
        <w:t>、</w:t>
      </w:r>
      <w:r>
        <w:rPr>
          <w:rFonts w:hint="eastAsia" w:hAnsi="宋体"/>
          <w:color w:val="auto"/>
          <w:sz w:val="24"/>
          <w:szCs w:val="24"/>
          <w:highlight w:val="none"/>
        </w:rPr>
        <w:t>反面）</w:t>
      </w:r>
      <w:r>
        <w:rPr>
          <w:rFonts w:hint="eastAsia" w:hAnsi="宋体"/>
          <w:color w:val="auto"/>
          <w:sz w:val="24"/>
          <w:szCs w:val="24"/>
          <w:highlight w:val="none"/>
          <w:lang w:eastAsia="zh-CN"/>
        </w:rPr>
        <w:t>彩色扫描件</w:t>
      </w:r>
    </w:p>
    <w:p w14:paraId="1CC48DA8">
      <w:pPr>
        <w:pStyle w:val="35"/>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textAlignment w:val="auto"/>
        <w:rPr>
          <w:rFonts w:hint="eastAsia" w:eastAsia="宋体"/>
          <w:color w:val="auto"/>
          <w:highlight w:val="none"/>
          <w:lang w:val="en-US" w:eastAsia="zh-CN"/>
        </w:rPr>
      </w:pPr>
    </w:p>
    <w:p w14:paraId="019A0EF3">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hAnsi="宋体"/>
          <w:color w:val="auto"/>
          <w:sz w:val="24"/>
          <w:szCs w:val="24"/>
          <w:highlight w:val="none"/>
        </w:rPr>
      </w:pPr>
      <w:r>
        <w:rPr>
          <w:rFonts w:hint="eastAsia" w:hAnsi="宋体"/>
          <w:color w:val="auto"/>
          <w:sz w:val="24"/>
          <w:szCs w:val="24"/>
          <w:highlight w:val="none"/>
        </w:rPr>
        <w:t xml:space="preserve">投标人（公章）：         </w:t>
      </w:r>
    </w:p>
    <w:p w14:paraId="4CA1BA21">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hAnsi="宋体"/>
          <w:color w:val="auto"/>
          <w:sz w:val="24"/>
          <w:szCs w:val="24"/>
          <w:highlight w:val="none"/>
        </w:rPr>
      </w:pPr>
      <w:r>
        <w:rPr>
          <w:rFonts w:hint="eastAsia" w:hAnsi="宋体"/>
          <w:color w:val="auto"/>
          <w:sz w:val="24"/>
          <w:szCs w:val="24"/>
          <w:highlight w:val="none"/>
        </w:rPr>
        <w:t>法定代表人（签字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6596D9D5">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Ansi="宋体"/>
          <w:color w:val="auto"/>
          <w:sz w:val="24"/>
          <w:szCs w:val="24"/>
          <w:highlight w:val="none"/>
        </w:rPr>
      </w:pPr>
      <w:r>
        <w:rPr>
          <w:rFonts w:hint="eastAsia" w:hAnsi="宋体"/>
          <w:color w:val="auto"/>
          <w:sz w:val="24"/>
          <w:szCs w:val="24"/>
          <w:highlight w:val="none"/>
          <w:lang w:eastAsia="zh-CN"/>
        </w:rPr>
        <w:t>授权代表</w:t>
      </w:r>
      <w:r>
        <w:rPr>
          <w:rFonts w:hint="eastAsia" w:hAnsi="宋体"/>
          <w:color w:val="auto"/>
          <w:sz w:val="24"/>
          <w:szCs w:val="24"/>
          <w:highlight w:val="none"/>
        </w:rPr>
        <w:t>（签字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1650DD66">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hint="eastAsia" w:hAnsi="宋体"/>
          <w:color w:val="auto"/>
          <w:sz w:val="24"/>
          <w:szCs w:val="24"/>
          <w:highlight w:val="none"/>
        </w:rPr>
      </w:pPr>
      <w:r>
        <w:rPr>
          <w:rFonts w:hint="eastAsia" w:hAnsi="宋体"/>
          <w:color w:val="auto"/>
          <w:sz w:val="24"/>
          <w:szCs w:val="24"/>
          <w:highlight w:val="none"/>
        </w:rPr>
        <w:t>日   期：</w:t>
      </w:r>
      <w:r>
        <w:rPr>
          <w:rFonts w:hAnsi="宋体"/>
          <w:color w:val="auto"/>
          <w:sz w:val="24"/>
          <w:szCs w:val="24"/>
          <w:highlight w:val="none"/>
        </w:rPr>
        <w:t>年</w:t>
      </w:r>
      <w:r>
        <w:rPr>
          <w:rFonts w:hint="eastAsia" w:hAnsi="宋体"/>
          <w:color w:val="auto"/>
          <w:sz w:val="24"/>
          <w:szCs w:val="24"/>
          <w:highlight w:val="none"/>
          <w:lang w:val="en-US" w:eastAsia="zh-CN"/>
        </w:rPr>
        <w:t xml:space="preserve"> </w:t>
      </w:r>
      <w:r>
        <w:rPr>
          <w:rFonts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14:paraId="3F30EAFE">
      <w:pPr>
        <w:tabs>
          <w:tab w:val="left" w:pos="3600"/>
        </w:tabs>
        <w:adjustRightInd w:val="0"/>
        <w:snapToGrid w:val="0"/>
        <w:spacing w:line="360" w:lineRule="auto"/>
        <w:jc w:val="center"/>
        <w:rPr>
          <w:rFonts w:hint="eastAsia" w:hAnsi="宋体"/>
          <w:b/>
          <w:color w:val="auto"/>
          <w:sz w:val="28"/>
          <w:szCs w:val="28"/>
          <w:highlight w:val="none"/>
          <w:lang w:eastAsia="zh-CN"/>
        </w:rPr>
      </w:pPr>
    </w:p>
    <w:p w14:paraId="7202E4CB">
      <w:pPr>
        <w:numPr>
          <w:ilvl w:val="0"/>
          <w:numId w:val="15"/>
        </w:numPr>
        <w:tabs>
          <w:tab w:val="left" w:pos="3600"/>
        </w:tabs>
        <w:adjustRightInd w:val="0"/>
        <w:snapToGrid w:val="0"/>
        <w:spacing w:line="360" w:lineRule="auto"/>
        <w:ind w:left="522" w:leftChars="0" w:firstLine="0" w:firstLineChars="0"/>
        <w:jc w:val="both"/>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rPr>
        <w:t>中小企业证明材料</w:t>
      </w:r>
      <w:r>
        <w:rPr>
          <w:rFonts w:hint="eastAsia" w:ascii="宋体" w:hAnsi="宋体" w:eastAsia="宋体"/>
          <w:b/>
          <w:color w:val="auto"/>
          <w:sz w:val="24"/>
          <w:szCs w:val="24"/>
          <w:highlight w:val="none"/>
          <w:lang w:eastAsia="zh-CN"/>
        </w:rPr>
        <w:t>（原件彩色扫描件）</w:t>
      </w:r>
    </w:p>
    <w:p w14:paraId="0FA4D4F6">
      <w:pPr>
        <w:tabs>
          <w:tab w:val="left" w:pos="3600"/>
        </w:tabs>
        <w:adjustRightInd w:val="0"/>
        <w:snapToGrid w:val="0"/>
        <w:spacing w:line="360" w:lineRule="auto"/>
        <w:rPr>
          <w:rFonts w:hAnsi="宋体"/>
          <w:b/>
          <w:color w:val="auto"/>
          <w:sz w:val="28"/>
          <w:szCs w:val="28"/>
          <w:highlight w:val="none"/>
        </w:rPr>
      </w:pPr>
    </w:p>
    <w:p w14:paraId="6DBBF0FA">
      <w:pPr>
        <w:tabs>
          <w:tab w:val="left" w:pos="3600"/>
        </w:tabs>
        <w:adjustRightInd w:val="0"/>
        <w:snapToGrid w:val="0"/>
        <w:spacing w:line="360" w:lineRule="auto"/>
        <w:jc w:val="center"/>
        <w:rPr>
          <w:rFonts w:hint="eastAsia" w:ascii="宋体" w:hAnsi="宋体" w:eastAsia="宋体" w:cs="Times New Roman"/>
          <w:b/>
          <w:bCs/>
          <w:color w:val="auto"/>
          <w:kern w:val="0"/>
          <w:sz w:val="24"/>
          <w:szCs w:val="24"/>
          <w:highlight w:val="none"/>
          <w:lang w:eastAsia="zh-CN"/>
        </w:rPr>
      </w:pPr>
      <w:r>
        <w:rPr>
          <w:rFonts w:hint="eastAsia" w:ascii="宋体" w:hAnsi="宋体" w:eastAsia="宋体" w:cs="Times New Roman"/>
          <w:b/>
          <w:bCs/>
          <w:color w:val="auto"/>
          <w:kern w:val="0"/>
          <w:sz w:val="24"/>
          <w:szCs w:val="24"/>
          <w:highlight w:val="none"/>
        </w:rPr>
        <w:t>中小企业声明函</w:t>
      </w:r>
      <w:r>
        <w:rPr>
          <w:rFonts w:hint="eastAsia" w:ascii="宋体" w:hAnsi="宋体" w:eastAsia="宋体" w:cs="Times New Roman"/>
          <w:b/>
          <w:bCs/>
          <w:color w:val="auto"/>
          <w:kern w:val="0"/>
          <w:sz w:val="24"/>
          <w:szCs w:val="24"/>
          <w:highlight w:val="none"/>
          <w:lang w:eastAsia="zh-CN"/>
        </w:rPr>
        <w:t>（</w:t>
      </w:r>
      <w:r>
        <w:rPr>
          <w:rFonts w:hint="eastAsia" w:ascii="宋体" w:hAnsi="宋体" w:eastAsia="宋体" w:cs="Times New Roman"/>
          <w:b/>
          <w:bCs/>
          <w:color w:val="auto"/>
          <w:kern w:val="0"/>
          <w:sz w:val="24"/>
          <w:szCs w:val="24"/>
          <w:highlight w:val="none"/>
          <w:lang w:val="en-US" w:eastAsia="zh-CN"/>
        </w:rPr>
        <w:t>工程、服务</w:t>
      </w:r>
      <w:r>
        <w:rPr>
          <w:rFonts w:hint="eastAsia" w:ascii="宋体" w:hAnsi="宋体" w:eastAsia="宋体" w:cs="Times New Roman"/>
          <w:b/>
          <w:bCs/>
          <w:color w:val="auto"/>
          <w:kern w:val="0"/>
          <w:sz w:val="24"/>
          <w:szCs w:val="24"/>
          <w:highlight w:val="none"/>
          <w:lang w:eastAsia="zh-CN"/>
        </w:rPr>
        <w:t>）</w:t>
      </w:r>
    </w:p>
    <w:p w14:paraId="27198B7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本公司（联合体）郑重声明，根据《政府采购促进中小企业发展管理办法》（财库〔</w:t>
      </w:r>
      <w:r>
        <w:rPr>
          <w:rFonts w:hint="eastAsia" w:ascii="宋体" w:hAnsi="宋体" w:eastAsia="宋体" w:cs="宋体"/>
          <w:color w:val="auto"/>
          <w:kern w:val="0"/>
          <w:sz w:val="24"/>
          <w:szCs w:val="24"/>
          <w:highlight w:val="none"/>
          <w:lang w:val="en-US" w:eastAsia="zh-CN"/>
        </w:rPr>
        <w:t>2020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46号</w:t>
      </w:r>
      <w:r>
        <w:rPr>
          <w:rFonts w:hint="eastAsia" w:ascii="宋体" w:hAnsi="宋体" w:eastAsia="宋体" w:cs="宋体"/>
          <w:color w:val="auto"/>
          <w:kern w:val="0"/>
          <w:sz w:val="24"/>
          <w:szCs w:val="24"/>
          <w:highlight w:val="none"/>
          <w:lang w:eastAsia="zh-CN"/>
        </w:rPr>
        <w:t>）的规定，本公司（联合体）参加</w:t>
      </w:r>
      <w:r>
        <w:rPr>
          <w:rFonts w:hint="eastAsia" w:ascii="宋体" w:hAnsi="宋体" w:eastAsia="宋体" w:cs="宋体"/>
          <w:color w:val="auto"/>
          <w:kern w:val="0"/>
          <w:sz w:val="24"/>
          <w:szCs w:val="24"/>
          <w:highlight w:val="none"/>
          <w:u w:val="single"/>
          <w:lang w:eastAsia="zh-CN"/>
        </w:rPr>
        <w:t>（单位名称）</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u w:val="single"/>
          <w:lang w:eastAsia="zh-CN"/>
        </w:rPr>
        <w:t>（项目名称）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eastAsia="zh-CN"/>
        </w:rPr>
        <w:t>采购活动，服务全部由符合政策要求的中小企业承接，相关企业（含联合体中的中小企业、签订分包意向协议的中小企业）的具体情况如下：</w:t>
      </w:r>
    </w:p>
    <w:p w14:paraId="44D7A590">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lang w:val="en-US" w:eastAsia="zh-CN"/>
        </w:rPr>
        <w:t>；承接企业为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lang w:val="en-US" w:eastAsia="zh-CN"/>
        </w:rPr>
        <w:t>，从业人员____人，营业收入为______万元，资产总额为____万元，属于（中型企业、小型企业、微型企业）；</w:t>
      </w:r>
    </w:p>
    <w:p w14:paraId="1EA465EB">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lang w:val="en-US" w:eastAsia="zh-CN"/>
        </w:rPr>
        <w:t>行业；承接企业为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lang w:val="en-US" w:eastAsia="zh-CN"/>
        </w:rPr>
        <w:t>，从业人员____人，营业收入为___万元，资产总额为___万元，属于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lang w:val="en-US" w:eastAsia="zh-CN"/>
        </w:rPr>
        <w:t>；</w:t>
      </w:r>
    </w:p>
    <w:p w14:paraId="2DBBC3C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w:t>
      </w:r>
    </w:p>
    <w:p w14:paraId="4E4D8F2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以上企业，不属于大企业的分支机构，不存在控股股东为大企业的情形，也不存在与大企业的负责人为同一人的情形。</w:t>
      </w:r>
    </w:p>
    <w:p w14:paraId="05927DB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本企业对上述声明内容的真实性负责。如有虚假，将依法承担相应责任。</w:t>
      </w:r>
    </w:p>
    <w:p w14:paraId="6ADBE906">
      <w:pPr>
        <w:adjustRightInd w:val="0"/>
        <w:snapToGrid w:val="0"/>
        <w:spacing w:line="360" w:lineRule="auto"/>
        <w:ind w:firstLine="480" w:firstLineChars="200"/>
        <w:rPr>
          <w:rFonts w:hint="eastAsia" w:ascii="宋体" w:hAnsi="宋体" w:eastAsia="宋体" w:cs="宋体"/>
          <w:color w:val="auto"/>
          <w:kern w:val="0"/>
          <w:sz w:val="24"/>
          <w:szCs w:val="24"/>
          <w:highlight w:val="none"/>
        </w:rPr>
      </w:pPr>
    </w:p>
    <w:p w14:paraId="7A319C04">
      <w:pPr>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企业名称（公章）：</w:t>
      </w:r>
    </w:p>
    <w:p w14:paraId="0B8D4521">
      <w:pPr>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期：</w:t>
      </w:r>
    </w:p>
    <w:p w14:paraId="16C5642F">
      <w:pPr>
        <w:autoSpaceDN w:val="0"/>
        <w:spacing w:line="360" w:lineRule="auto"/>
        <w:jc w:val="center"/>
        <w:rPr>
          <w:rFonts w:hint="eastAsia"/>
          <w:b/>
          <w:bCs/>
          <w:color w:val="auto"/>
          <w:sz w:val="24"/>
          <w:highlight w:val="none"/>
        </w:rPr>
      </w:pPr>
    </w:p>
    <w:p w14:paraId="33E5125B">
      <w:pPr>
        <w:autoSpaceDN w:val="0"/>
        <w:spacing w:line="360" w:lineRule="auto"/>
        <w:jc w:val="center"/>
        <w:rPr>
          <w:rFonts w:hint="eastAsia"/>
          <w:b/>
          <w:bCs/>
          <w:color w:val="auto"/>
          <w:sz w:val="24"/>
          <w:highlight w:val="none"/>
        </w:rPr>
      </w:pPr>
    </w:p>
    <w:p w14:paraId="6739A079">
      <w:pPr>
        <w:autoSpaceDN w:val="0"/>
        <w:spacing w:line="360" w:lineRule="auto"/>
        <w:jc w:val="center"/>
        <w:rPr>
          <w:b/>
          <w:bCs/>
          <w:color w:val="auto"/>
          <w:sz w:val="24"/>
          <w:highlight w:val="none"/>
        </w:rPr>
      </w:pPr>
      <w:r>
        <w:rPr>
          <w:rFonts w:hint="eastAsia"/>
          <w:b/>
          <w:bCs/>
          <w:color w:val="auto"/>
          <w:sz w:val="24"/>
          <w:highlight w:val="none"/>
        </w:rPr>
        <w:t>残疾人福利性单位声明函</w:t>
      </w:r>
    </w:p>
    <w:p w14:paraId="6FDBF4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szCs w:val="21"/>
          <w:highlight w:val="none"/>
        </w:rPr>
      </w:pPr>
      <w:r>
        <w:rPr>
          <w:rFonts w:hint="eastAsia"/>
          <w:color w:val="auto"/>
          <w:sz w:val="24"/>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58B9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1"/>
          <w:highlight w:val="none"/>
        </w:rPr>
      </w:pPr>
      <w:r>
        <w:rPr>
          <w:rFonts w:hint="eastAsia"/>
          <w:color w:val="auto"/>
          <w:sz w:val="24"/>
          <w:szCs w:val="21"/>
          <w:highlight w:val="none"/>
        </w:rPr>
        <w:t>本单位对上述声明的真实性负责。如有虚假，将依法承担相应责任。</w:t>
      </w:r>
    </w:p>
    <w:p w14:paraId="56BE7A56">
      <w:pPr>
        <w:snapToGrid w:val="0"/>
        <w:spacing w:line="360" w:lineRule="auto"/>
        <w:ind w:firstLine="480" w:firstLineChars="200"/>
        <w:rPr>
          <w:rFonts w:hint="eastAsia"/>
          <w:color w:val="auto"/>
          <w:sz w:val="24"/>
          <w:szCs w:val="21"/>
          <w:highlight w:val="none"/>
        </w:rPr>
      </w:pPr>
      <w:r>
        <w:rPr>
          <w:rFonts w:hint="eastAsia"/>
          <w:color w:val="auto"/>
          <w:sz w:val="24"/>
          <w:szCs w:val="21"/>
          <w:highlight w:val="none"/>
        </w:rPr>
        <w:t xml:space="preserve"> </w:t>
      </w:r>
    </w:p>
    <w:p w14:paraId="189E038E">
      <w:pPr>
        <w:snapToGrid w:val="0"/>
        <w:spacing w:line="360" w:lineRule="auto"/>
        <w:ind w:firstLine="480" w:firstLineChars="200"/>
        <w:rPr>
          <w:rFonts w:hint="eastAsia"/>
          <w:color w:val="auto"/>
          <w:sz w:val="24"/>
          <w:szCs w:val="21"/>
          <w:highlight w:val="none"/>
        </w:rPr>
      </w:pPr>
    </w:p>
    <w:p w14:paraId="01042FA6">
      <w:pPr>
        <w:snapToGrid w:val="0"/>
        <w:spacing w:line="360" w:lineRule="auto"/>
        <w:ind w:firstLine="480" w:firstLineChars="200"/>
        <w:rPr>
          <w:rFonts w:hint="eastAsia"/>
          <w:color w:val="auto"/>
          <w:sz w:val="24"/>
          <w:szCs w:val="21"/>
          <w:highlight w:val="none"/>
        </w:rPr>
      </w:pPr>
      <w:r>
        <w:rPr>
          <w:rFonts w:hint="eastAsia"/>
          <w:color w:val="auto"/>
          <w:sz w:val="24"/>
          <w:szCs w:val="21"/>
          <w:highlight w:val="none"/>
          <w:lang w:val="en-US" w:eastAsia="zh-CN"/>
        </w:rPr>
        <w:t xml:space="preserve">                                    </w:t>
      </w:r>
      <w:r>
        <w:rPr>
          <w:rFonts w:hint="eastAsia"/>
          <w:color w:val="auto"/>
          <w:sz w:val="24"/>
          <w:szCs w:val="21"/>
          <w:highlight w:val="none"/>
        </w:rPr>
        <w:t>单位名称（</w:t>
      </w:r>
      <w:r>
        <w:rPr>
          <w:rFonts w:hint="eastAsia"/>
          <w:color w:val="auto"/>
          <w:sz w:val="24"/>
          <w:szCs w:val="21"/>
          <w:highlight w:val="none"/>
          <w:lang w:eastAsia="zh-CN"/>
        </w:rPr>
        <w:t>公</w:t>
      </w:r>
      <w:r>
        <w:rPr>
          <w:rFonts w:hint="eastAsia"/>
          <w:color w:val="auto"/>
          <w:sz w:val="24"/>
          <w:szCs w:val="21"/>
          <w:highlight w:val="none"/>
        </w:rPr>
        <w:t>章）：</w:t>
      </w:r>
    </w:p>
    <w:p w14:paraId="5133ACDB">
      <w:pPr>
        <w:snapToGrid w:val="0"/>
        <w:spacing w:line="360" w:lineRule="auto"/>
        <w:ind w:firstLine="480" w:firstLineChars="200"/>
        <w:rPr>
          <w:rFonts w:hint="eastAsia"/>
          <w:color w:val="auto"/>
          <w:sz w:val="24"/>
          <w:szCs w:val="21"/>
          <w:highlight w:val="none"/>
        </w:rPr>
      </w:pPr>
      <w:r>
        <w:rPr>
          <w:rFonts w:hint="eastAsia"/>
          <w:color w:val="auto"/>
          <w:sz w:val="24"/>
          <w:szCs w:val="21"/>
          <w:highlight w:val="none"/>
        </w:rPr>
        <w:t xml:space="preserve">     </w:t>
      </w:r>
      <w:r>
        <w:rPr>
          <w:rFonts w:hint="eastAsia"/>
          <w:color w:val="auto"/>
          <w:sz w:val="24"/>
          <w:szCs w:val="21"/>
          <w:highlight w:val="none"/>
          <w:lang w:val="en-US" w:eastAsia="zh-CN"/>
        </w:rPr>
        <w:t xml:space="preserve">                             </w:t>
      </w:r>
      <w:r>
        <w:rPr>
          <w:rFonts w:hint="eastAsia"/>
          <w:color w:val="auto"/>
          <w:sz w:val="24"/>
          <w:szCs w:val="21"/>
          <w:highlight w:val="none"/>
        </w:rPr>
        <w:t xml:space="preserve">  日  期：</w:t>
      </w:r>
    </w:p>
    <w:p w14:paraId="22E3FAEA">
      <w:pPr>
        <w:pStyle w:val="35"/>
        <w:tabs>
          <w:tab w:val="right" w:leader="dot" w:pos="8400"/>
        </w:tabs>
        <w:rPr>
          <w:rFonts w:hint="eastAsia"/>
          <w:color w:val="auto"/>
        </w:rPr>
      </w:pPr>
    </w:p>
    <w:p w14:paraId="15F4760A">
      <w:pPr>
        <w:autoSpaceDN w:val="0"/>
        <w:spacing w:line="360" w:lineRule="auto"/>
        <w:jc w:val="center"/>
        <w:rPr>
          <w:rFonts w:hint="eastAsia"/>
          <w:b/>
          <w:bCs/>
          <w:color w:val="auto"/>
          <w:sz w:val="24"/>
          <w:highlight w:val="none"/>
        </w:rPr>
      </w:pPr>
      <w:r>
        <w:rPr>
          <w:rFonts w:hint="eastAsia"/>
          <w:b/>
          <w:bCs/>
          <w:color w:val="auto"/>
          <w:sz w:val="24"/>
          <w:highlight w:val="none"/>
        </w:rPr>
        <w:t>省级以上监狱管理局、戒毒管理局（含新疆生产建设兵团）出具的</w:t>
      </w:r>
    </w:p>
    <w:p w14:paraId="772794F5">
      <w:pPr>
        <w:autoSpaceDN w:val="0"/>
        <w:spacing w:line="360" w:lineRule="auto"/>
        <w:jc w:val="center"/>
        <w:rPr>
          <w:rFonts w:hint="eastAsia"/>
          <w:b/>
          <w:bCs/>
          <w:color w:val="auto"/>
          <w:sz w:val="24"/>
          <w:highlight w:val="none"/>
        </w:rPr>
      </w:pPr>
      <w:r>
        <w:rPr>
          <w:rFonts w:hint="eastAsia"/>
          <w:b/>
          <w:bCs/>
          <w:color w:val="auto"/>
          <w:sz w:val="24"/>
          <w:highlight w:val="none"/>
        </w:rPr>
        <w:t>属于监狱企业证明文件（</w:t>
      </w:r>
      <w:r>
        <w:rPr>
          <w:rFonts w:hint="eastAsia"/>
          <w:b/>
          <w:bCs/>
          <w:color w:val="auto"/>
          <w:sz w:val="24"/>
          <w:highlight w:val="none"/>
          <w:lang w:eastAsia="zh-CN"/>
        </w:rPr>
        <w:t>原件</w:t>
      </w:r>
      <w:r>
        <w:rPr>
          <w:rFonts w:hint="eastAsia"/>
          <w:b/>
          <w:bCs/>
          <w:color w:val="auto"/>
          <w:sz w:val="24"/>
          <w:highlight w:val="none"/>
        </w:rPr>
        <w:t>彩色扫描件）</w:t>
      </w:r>
      <w:r>
        <w:rPr>
          <w:rFonts w:hint="eastAsia"/>
          <w:b/>
          <w:bCs/>
          <w:color w:val="auto"/>
          <w:sz w:val="24"/>
          <w:highlight w:val="none"/>
          <w:lang w:eastAsia="zh-CN"/>
        </w:rPr>
        <w:t>（格式自拟）</w:t>
      </w:r>
    </w:p>
    <w:p w14:paraId="6F1961CE">
      <w:pPr>
        <w:numPr>
          <w:ilvl w:val="0"/>
          <w:numId w:val="0"/>
        </w:numPr>
        <w:tabs>
          <w:tab w:val="left" w:pos="3600"/>
        </w:tabs>
        <w:adjustRightInd w:val="0"/>
        <w:snapToGrid w:val="0"/>
        <w:spacing w:line="360" w:lineRule="auto"/>
        <w:ind w:left="522" w:leftChars="0"/>
        <w:jc w:val="both"/>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九、非联合体投标声明函（格式自拟）</w:t>
      </w:r>
    </w:p>
    <w:p w14:paraId="0C45D6A6">
      <w:pPr>
        <w:pStyle w:val="35"/>
        <w:tabs>
          <w:tab w:val="right" w:leader="dot" w:pos="8400"/>
        </w:tabs>
        <w:rPr>
          <w:color w:val="auto"/>
        </w:rPr>
      </w:pPr>
    </w:p>
    <w:p w14:paraId="401B7F10">
      <w:pPr>
        <w:rPr>
          <w:rFonts w:ascii="华文中宋" w:hAnsi="华文中宋" w:eastAsia="华文中宋"/>
          <w:color w:val="auto"/>
          <w:sz w:val="24"/>
          <w:szCs w:val="24"/>
          <w:highlight w:val="none"/>
        </w:rPr>
      </w:pPr>
      <w:r>
        <w:rPr>
          <w:rFonts w:hint="eastAsia" w:hAnsi="宋体"/>
          <w:b/>
          <w:color w:val="auto"/>
          <w:sz w:val="32"/>
          <w:szCs w:val="32"/>
          <w:highlight w:val="none"/>
        </w:rPr>
        <w:t xml:space="preserve">    以上所有资格全部为招标文件的实质性要求，有一项不符合即为无效投标。</w:t>
      </w:r>
    </w:p>
    <w:p w14:paraId="77B2FD03">
      <w:pPr>
        <w:snapToGrid w:val="0"/>
        <w:spacing w:line="360" w:lineRule="exact"/>
        <w:rPr>
          <w:rFonts w:hint="eastAsia" w:ascii="华文中宋" w:hAnsi="华文中宋" w:eastAsia="华文中宋"/>
          <w:color w:val="auto"/>
          <w:sz w:val="24"/>
          <w:szCs w:val="24"/>
          <w:highlight w:val="none"/>
        </w:rPr>
      </w:pPr>
    </w:p>
    <w:p w14:paraId="0DF88A67">
      <w:pPr>
        <w:pageBreakBefore w:val="0"/>
        <w:widowControl w:val="0"/>
        <w:kinsoku/>
        <w:wordWrap/>
        <w:overflowPunct/>
        <w:topLinePunct w:val="0"/>
        <w:autoSpaceDE/>
        <w:autoSpaceDN/>
        <w:bidi w:val="0"/>
        <w:adjustRightInd/>
        <w:snapToGrid w:val="0"/>
        <w:spacing w:line="360" w:lineRule="auto"/>
        <w:textAlignment w:val="auto"/>
        <w:rPr>
          <w:rFonts w:hint="eastAsia"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rPr>
        <w:t>说明：</w:t>
      </w:r>
    </w:p>
    <w:p w14:paraId="708A7592">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华文中宋" w:hAnsi="华文中宋" w:eastAsia="华文中宋"/>
          <w:color w:val="auto"/>
          <w:sz w:val="24"/>
          <w:szCs w:val="24"/>
          <w:highlight w:val="none"/>
          <w:lang w:val="en-US" w:eastAsia="zh-CN"/>
        </w:rPr>
      </w:pPr>
      <w:r>
        <w:rPr>
          <w:rFonts w:hint="eastAsia" w:ascii="华文中宋" w:hAnsi="华文中宋" w:eastAsia="华文中宋"/>
          <w:color w:val="auto"/>
          <w:sz w:val="24"/>
          <w:szCs w:val="24"/>
          <w:highlight w:val="none"/>
          <w:lang w:val="en-US" w:eastAsia="zh-CN"/>
        </w:rPr>
        <w:t>1.所要求提供的资格证明文件必须在每一项资料的</w:t>
      </w:r>
      <w:r>
        <w:rPr>
          <w:rFonts w:hint="eastAsia" w:hAnsi="宋体"/>
          <w:b w:val="0"/>
          <w:bCs/>
          <w:color w:val="auto"/>
          <w:sz w:val="24"/>
          <w:szCs w:val="24"/>
          <w:highlight w:val="none"/>
          <w:lang w:eastAsia="zh-CN"/>
        </w:rPr>
        <w:t>原件彩色扫描件</w:t>
      </w:r>
      <w:r>
        <w:rPr>
          <w:rFonts w:hint="eastAsia" w:ascii="华文中宋" w:hAnsi="华文中宋" w:eastAsia="华文中宋"/>
          <w:color w:val="auto"/>
          <w:sz w:val="24"/>
          <w:szCs w:val="24"/>
          <w:highlight w:val="none"/>
          <w:lang w:val="en-US" w:eastAsia="zh-CN"/>
        </w:rPr>
        <w:t>首页或逐页加盖投标人公章。</w:t>
      </w:r>
    </w:p>
    <w:p w14:paraId="01F4963E">
      <w:pPr>
        <w:pageBreakBefore w:val="0"/>
        <w:widowControl w:val="0"/>
        <w:kinsoku/>
        <w:wordWrap/>
        <w:overflowPunct/>
        <w:topLinePunct w:val="0"/>
        <w:autoSpaceDE/>
        <w:autoSpaceDN/>
        <w:bidi w:val="0"/>
        <w:adjustRightInd/>
        <w:snapToGrid w:val="0"/>
        <w:spacing w:line="360" w:lineRule="auto"/>
        <w:ind w:firstLine="480"/>
        <w:textAlignment w:val="auto"/>
        <w:rPr>
          <w:rFonts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lang w:val="en-US" w:eastAsia="zh-CN"/>
        </w:rPr>
        <w:t>2.</w:t>
      </w:r>
      <w:r>
        <w:rPr>
          <w:rFonts w:hint="eastAsia" w:ascii="华文中宋" w:hAnsi="华文中宋" w:eastAsia="华文中宋"/>
          <w:color w:val="auto"/>
          <w:sz w:val="24"/>
          <w:szCs w:val="24"/>
          <w:highlight w:val="none"/>
        </w:rPr>
        <w:t>提供的原件扫描件不清晰、无法辨认或内容不符合规定，该项内容将视为无效。</w:t>
      </w:r>
    </w:p>
    <w:p w14:paraId="1F3EFB90">
      <w:pPr>
        <w:pageBreakBefore w:val="0"/>
        <w:widowControl w:val="0"/>
        <w:kinsoku/>
        <w:wordWrap/>
        <w:overflowPunct/>
        <w:topLinePunct w:val="0"/>
        <w:autoSpaceDE/>
        <w:autoSpaceDN/>
        <w:bidi w:val="0"/>
        <w:adjustRightInd/>
        <w:snapToGrid w:val="0"/>
        <w:spacing w:line="360" w:lineRule="auto"/>
        <w:textAlignment w:val="auto"/>
        <w:rPr>
          <w:rFonts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lang w:val="en-US" w:eastAsia="zh-CN"/>
        </w:rPr>
        <w:t xml:space="preserve">    3.</w:t>
      </w:r>
      <w:r>
        <w:rPr>
          <w:rFonts w:hint="eastAsia" w:ascii="华文中宋" w:hAnsi="华文中宋" w:eastAsia="华文中宋"/>
          <w:color w:val="auto"/>
          <w:sz w:val="24"/>
          <w:szCs w:val="24"/>
          <w:highlight w:val="none"/>
        </w:rPr>
        <w:t>资格审查的内容若有一项未提供或达不到检查标准，将导致其不具备投标资格，且不允许在开标后补正。投标人为国家机关、事业单位、团体组织或个人的，不提供资格证明文件中的第二、三、四项内容。</w:t>
      </w:r>
    </w:p>
    <w:p w14:paraId="61270EA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lang w:val="en-US" w:eastAsia="zh-CN"/>
        </w:rPr>
        <w:t>4..</w:t>
      </w:r>
      <w:r>
        <w:rPr>
          <w:rFonts w:hint="eastAsia" w:ascii="华文中宋" w:hAnsi="华文中宋" w:eastAsia="华文中宋"/>
          <w:color w:val="auto"/>
          <w:sz w:val="24"/>
          <w:szCs w:val="24"/>
          <w:highlight w:val="none"/>
        </w:rPr>
        <w:t>依法免税或不需要缴纳社会保障金的投标人，应提供相应的文件证明，复印件或原件清晰、真实、有效。</w:t>
      </w:r>
    </w:p>
    <w:p w14:paraId="56C5BDEC">
      <w:pPr>
        <w:pStyle w:val="35"/>
        <w:rPr>
          <w:rFonts w:hint="eastAsia" w:ascii="华文中宋" w:hAnsi="华文中宋" w:eastAsia="华文中宋"/>
          <w:color w:val="auto"/>
          <w:sz w:val="24"/>
          <w:szCs w:val="24"/>
          <w:highlight w:val="none"/>
        </w:rPr>
      </w:pPr>
    </w:p>
    <w:p w14:paraId="01FDBAEC">
      <w:pPr>
        <w:pStyle w:val="5"/>
        <w:keepNext/>
        <w:keepLines/>
        <w:pageBreakBefore/>
        <w:widowControl w:val="0"/>
        <w:kinsoku/>
        <w:wordWrap/>
        <w:overflowPunct/>
        <w:topLinePunct w:val="0"/>
        <w:autoSpaceDE/>
        <w:autoSpaceDN/>
        <w:bidi w:val="0"/>
        <w:adjustRightInd w:val="0"/>
        <w:snapToGrid/>
        <w:spacing w:before="0" w:after="0" w:line="360" w:lineRule="auto"/>
        <w:jc w:val="center"/>
        <w:textAlignment w:val="baseline"/>
        <w:outlineLvl w:val="2"/>
        <w:rPr>
          <w:rFonts w:hint="eastAsia" w:hAnsi="宋体"/>
          <w:b/>
          <w:color w:val="auto"/>
          <w:kern w:val="2"/>
          <w:sz w:val="28"/>
          <w:szCs w:val="28"/>
          <w:highlight w:val="none"/>
          <w:lang w:val="en-US" w:eastAsia="zh-CN"/>
        </w:rPr>
      </w:pPr>
      <w:r>
        <w:rPr>
          <w:rFonts w:hint="eastAsia" w:hAnsi="宋体"/>
          <w:b/>
          <w:color w:val="auto"/>
          <w:kern w:val="2"/>
          <w:sz w:val="28"/>
          <w:szCs w:val="28"/>
          <w:highlight w:val="none"/>
          <w:lang w:val="en-US" w:eastAsia="zh-CN"/>
        </w:rPr>
        <w:t>六</w:t>
      </w:r>
      <w:r>
        <w:rPr>
          <w:rFonts w:hint="eastAsia" w:hAnsi="宋体"/>
          <w:b/>
          <w:color w:val="auto"/>
          <w:kern w:val="2"/>
          <w:sz w:val="28"/>
          <w:szCs w:val="28"/>
          <w:highlight w:val="none"/>
        </w:rPr>
        <w:t>、</w:t>
      </w:r>
      <w:bookmarkStart w:id="100" w:name="_Toc24814"/>
      <w:bookmarkStart w:id="101" w:name="_Toc22913"/>
      <w:bookmarkStart w:id="102" w:name="_Toc12958"/>
      <w:bookmarkStart w:id="103" w:name="_Toc387653057"/>
      <w:r>
        <w:rPr>
          <w:rFonts w:hint="eastAsia" w:hAnsi="宋体"/>
          <w:b/>
          <w:color w:val="auto"/>
          <w:kern w:val="2"/>
          <w:sz w:val="28"/>
          <w:szCs w:val="28"/>
          <w:highlight w:val="none"/>
          <w:lang w:val="en-US" w:eastAsia="zh-CN"/>
        </w:rPr>
        <w:t>投标人相关资料和业绩证明材料</w:t>
      </w:r>
    </w:p>
    <w:p w14:paraId="07712B0F">
      <w:pPr>
        <w:spacing w:before="0" w:after="0" w:line="360" w:lineRule="auto"/>
        <w:jc w:val="center"/>
        <w:outlineLvl w:val="9"/>
        <w:rPr>
          <w:rFonts w:hint="eastAsia" w:ascii="宋体" w:hAnsi="宋体" w:eastAsia="宋体" w:cs="Arial"/>
          <w:bCs/>
          <w:color w:val="auto"/>
          <w:sz w:val="24"/>
          <w:szCs w:val="24"/>
          <w:highlight w:val="none"/>
        </w:rPr>
      </w:pPr>
      <w:r>
        <w:rPr>
          <w:rFonts w:hint="eastAsia" w:ascii="宋体" w:hAnsi="宋体" w:eastAsia="宋体" w:cs="Arial"/>
          <w:bCs/>
          <w:color w:val="auto"/>
          <w:sz w:val="24"/>
          <w:szCs w:val="24"/>
          <w:highlight w:val="none"/>
          <w:lang w:eastAsia="zh-CN"/>
        </w:rPr>
        <w:t>（</w:t>
      </w:r>
      <w:r>
        <w:rPr>
          <w:rFonts w:hint="eastAsia" w:ascii="宋体" w:hAnsi="宋体" w:eastAsia="宋体" w:cs="Arial"/>
          <w:bCs/>
          <w:color w:val="auto"/>
          <w:sz w:val="24"/>
          <w:szCs w:val="24"/>
          <w:highlight w:val="none"/>
          <w:lang w:val="en-US" w:eastAsia="zh-CN"/>
        </w:rPr>
        <w:t>1）</w:t>
      </w:r>
      <w:r>
        <w:rPr>
          <w:rFonts w:hint="eastAsia" w:ascii="宋体" w:hAnsi="宋体" w:eastAsia="宋体" w:cs="Arial"/>
          <w:bCs/>
          <w:color w:val="auto"/>
          <w:sz w:val="24"/>
          <w:szCs w:val="24"/>
          <w:highlight w:val="none"/>
        </w:rPr>
        <w:t>投标人类似项目业绩一览表</w:t>
      </w:r>
    </w:p>
    <w:tbl>
      <w:tblPr>
        <w:tblStyle w:val="4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90"/>
        <w:gridCol w:w="699"/>
        <w:gridCol w:w="1122"/>
        <w:gridCol w:w="1316"/>
        <w:gridCol w:w="1025"/>
        <w:gridCol w:w="696"/>
        <w:gridCol w:w="2359"/>
      </w:tblGrid>
      <w:tr w14:paraId="1FBC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0819621">
            <w:pPr>
              <w:snapToGrid w:val="0"/>
              <w:jc w:val="center"/>
              <w:rPr>
                <w:color w:val="auto"/>
                <w:sz w:val="24"/>
                <w:highlight w:val="none"/>
              </w:rPr>
            </w:pPr>
            <w:r>
              <w:rPr>
                <w:color w:val="auto"/>
                <w:sz w:val="24"/>
                <w:highlight w:val="none"/>
              </w:rPr>
              <w:t>序号</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41397ED7">
            <w:pPr>
              <w:snapToGrid w:val="0"/>
              <w:jc w:val="center"/>
              <w:rPr>
                <w:color w:val="auto"/>
                <w:sz w:val="24"/>
                <w:highlight w:val="none"/>
              </w:rPr>
            </w:pPr>
            <w:r>
              <w:rPr>
                <w:color w:val="auto"/>
                <w:sz w:val="24"/>
                <w:highlight w:val="none"/>
              </w:rPr>
              <w:t>用户单位名称</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22E59EA3">
            <w:pPr>
              <w:snapToGrid w:val="0"/>
              <w:jc w:val="center"/>
              <w:rPr>
                <w:color w:val="auto"/>
                <w:sz w:val="24"/>
                <w:highlight w:val="none"/>
              </w:rPr>
            </w:pPr>
            <w:r>
              <w:rPr>
                <w:color w:val="auto"/>
                <w:sz w:val="24"/>
                <w:highlight w:val="none"/>
              </w:rPr>
              <w:t>项目内容</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7896FEA">
            <w:pPr>
              <w:snapToGrid w:val="0"/>
              <w:jc w:val="center"/>
              <w:rPr>
                <w:color w:val="auto"/>
                <w:sz w:val="24"/>
                <w:highlight w:val="none"/>
              </w:rPr>
            </w:pPr>
            <w:r>
              <w:rPr>
                <w:color w:val="auto"/>
                <w:sz w:val="24"/>
                <w:highlight w:val="none"/>
              </w:rPr>
              <w:t>实施地点</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7D086F23">
            <w:pPr>
              <w:snapToGrid w:val="0"/>
              <w:jc w:val="center"/>
              <w:rPr>
                <w:color w:val="auto"/>
                <w:sz w:val="24"/>
                <w:highlight w:val="none"/>
              </w:rPr>
            </w:pPr>
            <w:r>
              <w:rPr>
                <w:rFonts w:hint="eastAsia"/>
                <w:color w:val="auto"/>
                <w:sz w:val="24"/>
                <w:highlight w:val="none"/>
              </w:rPr>
              <w:t>用户</w:t>
            </w:r>
            <w:r>
              <w:rPr>
                <w:color w:val="auto"/>
                <w:sz w:val="24"/>
                <w:highlight w:val="none"/>
              </w:rPr>
              <w:t>联系人及联系方式</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B175198">
            <w:pPr>
              <w:snapToGrid w:val="0"/>
              <w:jc w:val="center"/>
              <w:rPr>
                <w:color w:val="auto"/>
                <w:sz w:val="24"/>
                <w:highlight w:val="none"/>
              </w:rPr>
            </w:pPr>
            <w:r>
              <w:rPr>
                <w:color w:val="auto"/>
                <w:sz w:val="24"/>
                <w:highlight w:val="none"/>
              </w:rPr>
              <w:t>项目起止时间</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1F883E24">
            <w:pPr>
              <w:snapToGrid w:val="0"/>
              <w:jc w:val="center"/>
              <w:rPr>
                <w:color w:val="auto"/>
                <w:sz w:val="24"/>
                <w:highlight w:val="none"/>
              </w:rPr>
            </w:pPr>
            <w:r>
              <w:rPr>
                <w:color w:val="auto"/>
                <w:sz w:val="24"/>
                <w:highlight w:val="none"/>
              </w:rPr>
              <w:t>合同金额</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3047684C">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napToGrid/>
              <w:spacing w:line="360" w:lineRule="exact"/>
              <w:textAlignment w:val="auto"/>
              <w:rPr>
                <w:color w:val="auto"/>
                <w:sz w:val="24"/>
                <w:highlight w:val="none"/>
              </w:rPr>
            </w:pPr>
            <w:r>
              <w:rPr>
                <w:rFonts w:hint="eastAsia"/>
                <w:color w:val="auto"/>
                <w:sz w:val="24"/>
                <w:highlight w:val="none"/>
              </w:rPr>
              <w:t>用户盖章的成功履行合同</w:t>
            </w:r>
            <w:r>
              <w:rPr>
                <w:rFonts w:hint="eastAsia"/>
                <w:color w:val="auto"/>
                <w:sz w:val="24"/>
                <w:highlight w:val="none"/>
                <w:lang w:eastAsia="zh-CN"/>
              </w:rPr>
              <w:t>或</w:t>
            </w:r>
            <w:r>
              <w:rPr>
                <w:rFonts w:hint="eastAsia" w:ascii="宋体" w:hAnsi="宋体" w:cs="Arial"/>
                <w:color w:val="auto"/>
                <w:sz w:val="24"/>
                <w:szCs w:val="24"/>
                <w:highlight w:val="none"/>
              </w:rPr>
              <w:t>中标（成交）通知书</w:t>
            </w:r>
            <w:r>
              <w:rPr>
                <w:rFonts w:hint="eastAsia"/>
                <w:color w:val="auto"/>
                <w:sz w:val="24"/>
                <w:highlight w:val="none"/>
              </w:rPr>
              <w:t>的</w:t>
            </w:r>
            <w:r>
              <w:rPr>
                <w:rFonts w:hint="eastAsia"/>
                <w:color w:val="auto"/>
                <w:sz w:val="24"/>
                <w:highlight w:val="none"/>
                <w:lang w:eastAsia="zh-CN"/>
              </w:rPr>
              <w:t>原件彩色扫描件</w:t>
            </w:r>
            <w:r>
              <w:rPr>
                <w:rFonts w:hint="eastAsia" w:hAnsi="宋体" w:cs="Arial"/>
                <w:color w:val="auto"/>
                <w:sz w:val="24"/>
                <w:szCs w:val="24"/>
                <w:highlight w:val="none"/>
                <w:lang w:eastAsia="zh-CN"/>
              </w:rPr>
              <w:t>等</w:t>
            </w:r>
            <w:r>
              <w:rPr>
                <w:rFonts w:hint="eastAsia"/>
                <w:color w:val="auto"/>
                <w:sz w:val="24"/>
                <w:highlight w:val="none"/>
              </w:rPr>
              <w:t>相关证明材料</w:t>
            </w:r>
            <w:r>
              <w:rPr>
                <w:rFonts w:hint="eastAsia"/>
                <w:bCs/>
                <w:color w:val="auto"/>
                <w:sz w:val="24"/>
                <w:highlight w:val="none"/>
              </w:rPr>
              <w:t>所在页码</w:t>
            </w:r>
            <w:r>
              <w:rPr>
                <w:rFonts w:hint="eastAsia" w:ascii="宋体" w:hAnsi="宋体" w:cs="Arial"/>
                <w:color w:val="auto"/>
                <w:sz w:val="24"/>
                <w:szCs w:val="24"/>
                <w:highlight w:val="none"/>
              </w:rPr>
              <w:t xml:space="preserve"> </w:t>
            </w:r>
          </w:p>
        </w:tc>
      </w:tr>
      <w:tr w14:paraId="4627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0DBAE9D">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594563AC">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3D9B15AD">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55D2A13">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1FC78567">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45DEDA2">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0293D5AF">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14B168C9">
            <w:pPr>
              <w:snapToGrid w:val="0"/>
              <w:jc w:val="center"/>
              <w:rPr>
                <w:color w:val="auto"/>
                <w:sz w:val="24"/>
                <w:highlight w:val="none"/>
              </w:rPr>
            </w:pPr>
          </w:p>
        </w:tc>
      </w:tr>
      <w:tr w14:paraId="0386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F76B405">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441775E8">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4A489645">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C958939">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02A8F0A4">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7191F6CF">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E8F3434">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130FE1A7">
            <w:pPr>
              <w:snapToGrid w:val="0"/>
              <w:jc w:val="center"/>
              <w:rPr>
                <w:color w:val="auto"/>
                <w:sz w:val="24"/>
                <w:highlight w:val="none"/>
              </w:rPr>
            </w:pPr>
          </w:p>
        </w:tc>
      </w:tr>
      <w:tr w14:paraId="1E4F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30A25BCA">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4078C1D9">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4C3DF410">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FDBC214">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4EEAB4F4">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70F1790">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267A4D5E">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56E99613">
            <w:pPr>
              <w:snapToGrid w:val="0"/>
              <w:jc w:val="center"/>
              <w:rPr>
                <w:color w:val="auto"/>
                <w:sz w:val="24"/>
                <w:highlight w:val="none"/>
              </w:rPr>
            </w:pPr>
          </w:p>
        </w:tc>
      </w:tr>
      <w:tr w14:paraId="5083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C543FCF">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776C7AB6">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04D5CB13">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79C3827D">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3EBB1E2A">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AE49622">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7E0DBDC6">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7B808AA5">
            <w:pPr>
              <w:snapToGrid w:val="0"/>
              <w:jc w:val="center"/>
              <w:rPr>
                <w:color w:val="auto"/>
                <w:sz w:val="24"/>
                <w:highlight w:val="none"/>
              </w:rPr>
            </w:pPr>
          </w:p>
        </w:tc>
      </w:tr>
      <w:tr w14:paraId="167F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F2B7A9A">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0E11A7C7">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2D3C0A52">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5D38E7A">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090F1AA3">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264151DC">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10556F5">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29CC2D29">
            <w:pPr>
              <w:snapToGrid w:val="0"/>
              <w:jc w:val="center"/>
              <w:rPr>
                <w:color w:val="auto"/>
                <w:sz w:val="24"/>
                <w:highlight w:val="none"/>
              </w:rPr>
            </w:pPr>
          </w:p>
        </w:tc>
      </w:tr>
      <w:tr w14:paraId="4449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3BDB24D7">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38700409">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0FB7020D">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7D36A53E">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53B2AE95">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1B85B20">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4B1AA843">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77A5D18B">
            <w:pPr>
              <w:snapToGrid w:val="0"/>
              <w:jc w:val="center"/>
              <w:rPr>
                <w:color w:val="auto"/>
                <w:sz w:val="24"/>
                <w:highlight w:val="none"/>
              </w:rPr>
            </w:pPr>
          </w:p>
        </w:tc>
      </w:tr>
      <w:tr w14:paraId="5DD9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1C28111D">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219501DB">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2A462A86">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C49C857">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3A1ED8B0">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CA1905C">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6290B9FB">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5C97198E">
            <w:pPr>
              <w:snapToGrid w:val="0"/>
              <w:jc w:val="center"/>
              <w:rPr>
                <w:color w:val="auto"/>
                <w:sz w:val="24"/>
                <w:highlight w:val="none"/>
              </w:rPr>
            </w:pPr>
          </w:p>
        </w:tc>
      </w:tr>
      <w:tr w14:paraId="7613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835BB22">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0F5483FC">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45C92923">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2BC0A0DA">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31153BB1">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23247426">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0360BADC">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61EA2495">
            <w:pPr>
              <w:snapToGrid w:val="0"/>
              <w:jc w:val="center"/>
              <w:rPr>
                <w:color w:val="auto"/>
                <w:sz w:val="24"/>
                <w:highlight w:val="none"/>
              </w:rPr>
            </w:pPr>
          </w:p>
        </w:tc>
      </w:tr>
    </w:tbl>
    <w:p w14:paraId="3AE76F38">
      <w:pPr>
        <w:spacing w:line="560" w:lineRule="exact"/>
        <w:jc w:val="both"/>
        <w:rPr>
          <w:color w:val="auto"/>
          <w:sz w:val="24"/>
          <w:highlight w:val="none"/>
        </w:rPr>
      </w:pPr>
    </w:p>
    <w:p w14:paraId="47A3B1B7">
      <w:pPr>
        <w:spacing w:line="560" w:lineRule="exact"/>
        <w:ind w:firstLine="480" w:firstLineChars="200"/>
        <w:rPr>
          <w:color w:val="auto"/>
          <w:sz w:val="24"/>
          <w:highlight w:val="none"/>
        </w:rPr>
      </w:pPr>
      <w:r>
        <w:rPr>
          <w:color w:val="auto"/>
          <w:sz w:val="24"/>
          <w:highlight w:val="none"/>
        </w:rPr>
        <w:t>备注：若</w:t>
      </w:r>
      <w:r>
        <w:rPr>
          <w:rFonts w:hint="eastAsia"/>
          <w:color w:val="auto"/>
          <w:sz w:val="24"/>
          <w:highlight w:val="none"/>
        </w:rPr>
        <w:t>招标文件评分因素及评标标准中</w:t>
      </w:r>
      <w:r>
        <w:rPr>
          <w:color w:val="auto"/>
          <w:sz w:val="24"/>
          <w:highlight w:val="none"/>
        </w:rPr>
        <w:t>要求提供</w:t>
      </w:r>
      <w:r>
        <w:rPr>
          <w:rFonts w:hint="eastAsia"/>
          <w:color w:val="auto"/>
          <w:sz w:val="24"/>
          <w:highlight w:val="none"/>
        </w:rPr>
        <w:t>业绩</w:t>
      </w:r>
      <w:r>
        <w:rPr>
          <w:color w:val="auto"/>
          <w:sz w:val="24"/>
          <w:highlight w:val="none"/>
        </w:rPr>
        <w:t>的，投标人所列业绩应按其要求将证明材料按顺序附后</w:t>
      </w:r>
      <w:r>
        <w:rPr>
          <w:rFonts w:hint="eastAsia"/>
          <w:color w:val="auto"/>
          <w:sz w:val="24"/>
          <w:highlight w:val="none"/>
          <w:lang w:eastAsia="zh-CN"/>
        </w:rPr>
        <w:t>，并在表中标明材料所在页码</w:t>
      </w:r>
      <w:r>
        <w:rPr>
          <w:color w:val="auto"/>
          <w:sz w:val="24"/>
          <w:highlight w:val="none"/>
        </w:rPr>
        <w:t>。</w:t>
      </w:r>
    </w:p>
    <w:p w14:paraId="58E95E5B">
      <w:pPr>
        <w:spacing w:line="360" w:lineRule="auto"/>
        <w:jc w:val="both"/>
        <w:rPr>
          <w:rFonts w:hint="eastAsia" w:ascii="宋体" w:hAnsi="宋体" w:cs="Arial"/>
          <w:color w:val="auto"/>
          <w:sz w:val="24"/>
          <w:szCs w:val="24"/>
          <w:highlight w:val="none"/>
        </w:rPr>
      </w:pPr>
    </w:p>
    <w:p w14:paraId="152C5CAA">
      <w:pPr>
        <w:adjustRightIn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投标人（</w:t>
      </w:r>
      <w:r>
        <w:rPr>
          <w:rFonts w:hint="eastAsia" w:hAnsi="宋体"/>
          <w:color w:val="auto"/>
          <w:sz w:val="24"/>
          <w:szCs w:val="24"/>
          <w:highlight w:val="none"/>
          <w:lang w:eastAsia="zh-CN"/>
        </w:rPr>
        <w:t>公</w:t>
      </w:r>
      <w:r>
        <w:rPr>
          <w:rFonts w:ascii="宋体" w:hAnsi="宋体"/>
          <w:color w:val="auto"/>
          <w:sz w:val="24"/>
          <w:szCs w:val="24"/>
          <w:highlight w:val="none"/>
        </w:rPr>
        <w:t>章</w:t>
      </w:r>
      <w:r>
        <w:rPr>
          <w:rFonts w:hint="eastAsia" w:ascii="宋体" w:hAnsi="宋体"/>
          <w:color w:val="auto"/>
          <w:sz w:val="24"/>
          <w:szCs w:val="24"/>
          <w:highlight w:val="none"/>
        </w:rPr>
        <w:t xml:space="preserve">）：         </w:t>
      </w:r>
    </w:p>
    <w:p w14:paraId="14BD7673">
      <w:pPr>
        <w:adjustRightInd w:val="0"/>
        <w:spacing w:line="360" w:lineRule="auto"/>
        <w:jc w:val="left"/>
        <w:rPr>
          <w:rFonts w:ascii="宋体" w:hAnsi="宋体"/>
          <w:bCs/>
          <w:color w:val="auto"/>
          <w:sz w:val="24"/>
          <w:szCs w:val="24"/>
          <w:highlight w:val="none"/>
        </w:rPr>
      </w:pPr>
      <w:r>
        <w:rPr>
          <w:rFonts w:hint="eastAsia" w:ascii="宋体" w:hAnsi="宋体"/>
          <w:color w:val="auto"/>
          <w:sz w:val="24"/>
          <w:szCs w:val="24"/>
          <w:highlight w:val="none"/>
        </w:rPr>
        <w:t xml:space="preserve">    法定代表人或</w:t>
      </w:r>
      <w:r>
        <w:rPr>
          <w:rFonts w:hint="default" w:hAnsi="宋体"/>
          <w:color w:val="auto"/>
          <w:sz w:val="24"/>
          <w:szCs w:val="24"/>
          <w:highlight w:val="none"/>
          <w:lang w:val="en" w:eastAsia="zh-CN"/>
        </w:rPr>
        <w:t>授权代表</w:t>
      </w:r>
      <w:r>
        <w:rPr>
          <w:rFonts w:hint="eastAsia" w:ascii="宋体" w:hAnsi="宋体"/>
          <w:color w:val="auto"/>
          <w:sz w:val="24"/>
          <w:szCs w:val="24"/>
          <w:highlight w:val="none"/>
        </w:rPr>
        <w:t>（签字</w:t>
      </w:r>
      <w:r>
        <w:rPr>
          <w:rFonts w:hint="eastAsia" w:hAnsi="宋体"/>
          <w:color w:val="auto"/>
          <w:sz w:val="24"/>
          <w:szCs w:val="24"/>
          <w:highlight w:val="none"/>
          <w:lang w:eastAsia="zh-CN"/>
        </w:rPr>
        <w:t>或盖章</w:t>
      </w:r>
      <w:r>
        <w:rPr>
          <w:rFonts w:hint="eastAsia" w:ascii="宋体" w:hAnsi="宋体"/>
          <w:color w:val="auto"/>
          <w:sz w:val="24"/>
          <w:szCs w:val="24"/>
          <w:highlight w:val="none"/>
        </w:rPr>
        <w:t>）：</w:t>
      </w:r>
    </w:p>
    <w:p w14:paraId="37BAE1B9">
      <w:pPr>
        <w:pStyle w:val="17"/>
        <w:spacing w:line="360" w:lineRule="auto"/>
        <w:ind w:firstLine="360" w:firstLineChars="150"/>
        <w:jc w:val="left"/>
        <w:rPr>
          <w:rFonts w:hint="eastAsia" w:hAnsi="宋体" w:eastAsia="宋体"/>
          <w:b/>
          <w:color w:val="auto"/>
          <w:kern w:val="2"/>
          <w:sz w:val="28"/>
          <w:szCs w:val="28"/>
          <w:highlight w:val="none"/>
          <w:lang w:val="en-US" w:eastAsia="zh-CN" w:bidi="ar-SA"/>
        </w:rPr>
      </w:pPr>
      <w:r>
        <w:rPr>
          <w:rFonts w:hint="eastAsia" w:ascii="宋体" w:hAnsi="宋体"/>
          <w:bCs/>
          <w:color w:val="auto"/>
          <w:sz w:val="24"/>
          <w:szCs w:val="24"/>
          <w:highlight w:val="none"/>
        </w:rPr>
        <w:t>日  期</w:t>
      </w:r>
      <w:r>
        <w:rPr>
          <w:rFonts w:ascii="宋体" w:hAnsi="宋体"/>
          <w:bCs/>
          <w:color w:val="auto"/>
          <w:sz w:val="24"/>
          <w:szCs w:val="24"/>
          <w:highlight w:val="none"/>
        </w:rPr>
        <w:t>:</w:t>
      </w:r>
      <w:r>
        <w:rPr>
          <w:rFonts w:hint="eastAsia" w:hAnsi="宋体"/>
          <w:bCs/>
          <w:color w:val="auto"/>
          <w:sz w:val="24"/>
          <w:szCs w:val="24"/>
          <w:highlight w:val="none"/>
          <w:u w:val="single"/>
          <w:lang w:val="en-US" w:eastAsia="zh-CN"/>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eastAsia="宋体"/>
          <w:b/>
          <w:color w:val="auto"/>
          <w:kern w:val="2"/>
          <w:sz w:val="28"/>
          <w:szCs w:val="28"/>
          <w:highlight w:val="none"/>
          <w:lang w:val="en-US" w:eastAsia="zh-CN" w:bidi="ar-SA"/>
        </w:rPr>
        <w:br w:type="textWrapping"/>
      </w:r>
      <w:r>
        <w:rPr>
          <w:rFonts w:hint="eastAsia" w:hAnsi="宋体" w:eastAsia="宋体"/>
          <w:b/>
          <w:color w:val="auto"/>
          <w:kern w:val="2"/>
          <w:sz w:val="28"/>
          <w:szCs w:val="28"/>
          <w:highlight w:val="none"/>
          <w:lang w:val="en-US" w:eastAsia="zh-CN" w:bidi="ar-SA"/>
        </w:rPr>
        <w:t xml:space="preserve"> </w:t>
      </w:r>
    </w:p>
    <w:p w14:paraId="558671D2">
      <w:pPr>
        <w:pStyle w:val="17"/>
        <w:spacing w:line="360" w:lineRule="auto"/>
        <w:ind w:firstLine="360" w:firstLineChars="15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投标人认为有必要提供的其他有关资料</w:t>
      </w:r>
    </w:p>
    <w:p w14:paraId="15EF163C">
      <w:pPr>
        <w:pStyle w:val="5"/>
        <w:pageBreakBefore/>
        <w:adjustRightInd/>
        <w:spacing w:before="0" w:after="0" w:line="360" w:lineRule="auto"/>
        <w:jc w:val="center"/>
        <w:textAlignment w:val="auto"/>
        <w:rPr>
          <w:rFonts w:ascii="宋体"/>
          <w:b/>
          <w:bCs/>
          <w:kern w:val="2"/>
          <w:sz w:val="28"/>
          <w:szCs w:val="28"/>
        </w:rPr>
      </w:pPr>
      <w:r>
        <w:rPr>
          <w:rFonts w:hint="eastAsia" w:ascii="宋体" w:hAnsi="宋体" w:cs="宋体"/>
          <w:b/>
          <w:bCs/>
          <w:kern w:val="2"/>
          <w:sz w:val="28"/>
          <w:szCs w:val="28"/>
          <w:lang w:val="en-US" w:eastAsia="zh-CN"/>
        </w:rPr>
        <w:t>七</w:t>
      </w:r>
      <w:r>
        <w:rPr>
          <w:rFonts w:hint="eastAsia" w:ascii="宋体" w:hAnsi="宋体" w:cs="宋体"/>
          <w:b/>
          <w:bCs/>
          <w:kern w:val="2"/>
          <w:sz w:val="28"/>
          <w:szCs w:val="28"/>
        </w:rPr>
        <w:t>、商务响应表</w:t>
      </w:r>
      <w:bookmarkEnd w:id="100"/>
      <w:bookmarkEnd w:id="101"/>
      <w:bookmarkEnd w:id="102"/>
    </w:p>
    <w:p w14:paraId="52085856">
      <w:pPr>
        <w:adjustRightInd w:val="0"/>
        <w:snapToGrid w:val="0"/>
        <w:rPr>
          <w:rFonts w:ascii="宋体"/>
          <w:color w:val="000000"/>
        </w:rPr>
      </w:pPr>
    </w:p>
    <w:p w14:paraId="6EEAE3E5">
      <w:pPr>
        <w:spacing w:line="460" w:lineRule="exact"/>
        <w:rPr>
          <w:color w:val="auto"/>
          <w:sz w:val="24"/>
          <w:highlight w:val="none"/>
        </w:rPr>
      </w:pPr>
      <w:bookmarkStart w:id="104" w:name="_Toc17074"/>
      <w:bookmarkStart w:id="105" w:name="_Toc25086"/>
      <w:bookmarkStart w:id="106" w:name="_Toc16509"/>
      <w:r>
        <w:rPr>
          <w:color w:val="auto"/>
          <w:sz w:val="24"/>
          <w:highlight w:val="none"/>
        </w:rPr>
        <w:t>项目名称：</w:t>
      </w:r>
    </w:p>
    <w:p w14:paraId="0E61CEE4">
      <w:pPr>
        <w:spacing w:line="460" w:lineRule="exact"/>
        <w:rPr>
          <w:color w:val="auto"/>
          <w:sz w:val="24"/>
          <w:highlight w:val="none"/>
        </w:rPr>
      </w:pPr>
      <w:r>
        <w:rPr>
          <w:rFonts w:hint="eastAsia"/>
          <w:color w:val="auto"/>
          <w:sz w:val="24"/>
          <w:highlight w:val="none"/>
        </w:rPr>
        <w:t>招标文件</w:t>
      </w:r>
      <w:r>
        <w:rPr>
          <w:color w:val="auto"/>
          <w:sz w:val="24"/>
          <w:highlight w:val="none"/>
        </w:rPr>
        <w:t>编号：</w:t>
      </w:r>
    </w:p>
    <w:p w14:paraId="766224F7">
      <w:pPr>
        <w:spacing w:line="460" w:lineRule="exact"/>
        <w:rPr>
          <w:color w:val="auto"/>
          <w:sz w:val="24"/>
          <w:highlight w:val="none"/>
          <w:u w:val="single"/>
        </w:rPr>
      </w:pPr>
      <w:r>
        <w:rPr>
          <w:color w:val="auto"/>
          <w:sz w:val="24"/>
          <w:highlight w:val="none"/>
        </w:rPr>
        <w:t>包</w:t>
      </w:r>
      <w:r>
        <w:rPr>
          <w:rFonts w:hint="eastAsia"/>
          <w:color w:val="auto"/>
          <w:sz w:val="24"/>
          <w:highlight w:val="none"/>
          <w:lang w:val="en-US" w:eastAsia="zh-CN"/>
        </w:rPr>
        <w:t xml:space="preserve">    </w:t>
      </w:r>
      <w:r>
        <w:rPr>
          <w:color w:val="auto"/>
          <w:sz w:val="24"/>
          <w:highlight w:val="none"/>
        </w:rPr>
        <w:t>号：</w:t>
      </w:r>
    </w:p>
    <w:tbl>
      <w:tblPr>
        <w:tblStyle w:val="46"/>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00"/>
        <w:gridCol w:w="2680"/>
        <w:gridCol w:w="1979"/>
        <w:gridCol w:w="1241"/>
      </w:tblGrid>
      <w:tr w14:paraId="1D2B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0B0B98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序号</w:t>
            </w:r>
          </w:p>
        </w:tc>
        <w:tc>
          <w:tcPr>
            <w:tcW w:w="2500" w:type="dxa"/>
            <w:vAlign w:val="center"/>
          </w:tcPr>
          <w:p w14:paraId="60420B3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招标要求</w:t>
            </w:r>
          </w:p>
        </w:tc>
        <w:tc>
          <w:tcPr>
            <w:tcW w:w="2680" w:type="dxa"/>
            <w:vAlign w:val="center"/>
          </w:tcPr>
          <w:p w14:paraId="0474B13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投标应答</w:t>
            </w:r>
          </w:p>
        </w:tc>
        <w:tc>
          <w:tcPr>
            <w:tcW w:w="1979" w:type="dxa"/>
            <w:vAlign w:val="center"/>
          </w:tcPr>
          <w:p w14:paraId="0E9E5A2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偏离说明</w:t>
            </w:r>
          </w:p>
        </w:tc>
        <w:tc>
          <w:tcPr>
            <w:tcW w:w="1241" w:type="dxa"/>
            <w:vAlign w:val="center"/>
          </w:tcPr>
          <w:p w14:paraId="079D8987">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备注</w:t>
            </w:r>
          </w:p>
        </w:tc>
      </w:tr>
      <w:tr w14:paraId="3868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5790F098">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color w:val="auto"/>
                <w:sz w:val="22"/>
                <w:szCs w:val="20"/>
                <w:highlight w:val="none"/>
              </w:rPr>
              <w:t>（</w:t>
            </w:r>
            <w:r>
              <w:rPr>
                <w:rFonts w:hint="eastAsia"/>
                <w:color w:val="auto"/>
                <w:sz w:val="22"/>
                <w:szCs w:val="20"/>
                <w:highlight w:val="none"/>
              </w:rPr>
              <w:t>一</w:t>
            </w:r>
            <w:r>
              <w:rPr>
                <w:color w:val="auto"/>
                <w:sz w:val="22"/>
                <w:szCs w:val="20"/>
                <w:highlight w:val="none"/>
              </w:rPr>
              <w:t>）报价要求</w:t>
            </w:r>
          </w:p>
        </w:tc>
      </w:tr>
      <w:tr w14:paraId="46E8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1E0A88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069C2669">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4B6E0F74">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75099C0D">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25FE1703">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6988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44060F79">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rFonts w:hint="eastAsia"/>
                <w:color w:val="auto"/>
                <w:sz w:val="22"/>
                <w:szCs w:val="20"/>
                <w:highlight w:val="none"/>
              </w:rPr>
              <w:t>（二）服务要求</w:t>
            </w:r>
          </w:p>
        </w:tc>
      </w:tr>
      <w:tr w14:paraId="239D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92772B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60AE269C">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05C33F69">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7B6C084C">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6F88A6A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5F56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1C9349E7">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rFonts w:hint="eastAsia"/>
                <w:color w:val="auto"/>
                <w:sz w:val="22"/>
                <w:szCs w:val="20"/>
                <w:highlight w:val="none"/>
              </w:rPr>
              <w:t>（三）交货要求</w:t>
            </w:r>
          </w:p>
        </w:tc>
      </w:tr>
      <w:tr w14:paraId="7DF5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3D644E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481EDA8A">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0AF33E8C">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356AEC60">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21D4CBA3">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0773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2A214D6A">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color w:val="auto"/>
                <w:sz w:val="22"/>
                <w:szCs w:val="20"/>
                <w:highlight w:val="none"/>
              </w:rPr>
              <w:t>（</w:t>
            </w:r>
            <w:r>
              <w:rPr>
                <w:rFonts w:hint="eastAsia"/>
                <w:color w:val="auto"/>
                <w:sz w:val="22"/>
                <w:szCs w:val="20"/>
                <w:highlight w:val="none"/>
              </w:rPr>
              <w:t>四</w:t>
            </w:r>
            <w:r>
              <w:rPr>
                <w:color w:val="auto"/>
                <w:sz w:val="22"/>
                <w:szCs w:val="20"/>
                <w:highlight w:val="none"/>
              </w:rPr>
              <w:t>）付款方式</w:t>
            </w:r>
          </w:p>
        </w:tc>
      </w:tr>
      <w:tr w14:paraId="1749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DB98DB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0B0FE3C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239FD725">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470E7407">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387729D0">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7964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212FB531">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color w:val="auto"/>
                <w:sz w:val="22"/>
                <w:szCs w:val="20"/>
                <w:highlight w:val="none"/>
              </w:rPr>
              <w:t>（</w:t>
            </w:r>
            <w:r>
              <w:rPr>
                <w:rFonts w:hint="eastAsia"/>
                <w:color w:val="auto"/>
                <w:sz w:val="22"/>
                <w:szCs w:val="20"/>
                <w:highlight w:val="none"/>
              </w:rPr>
              <w:t>五</w:t>
            </w:r>
            <w:r>
              <w:rPr>
                <w:color w:val="auto"/>
                <w:sz w:val="22"/>
                <w:szCs w:val="20"/>
                <w:highlight w:val="none"/>
              </w:rPr>
              <w:t>）履约保证金</w:t>
            </w:r>
          </w:p>
        </w:tc>
      </w:tr>
      <w:tr w14:paraId="63C1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85784C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71F8CBAE">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6506EF3F">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654379E2">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5B8BBB15">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6F48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7F66657F">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eastAsia="宋体"/>
                <w:color w:val="auto"/>
                <w:sz w:val="22"/>
                <w:szCs w:val="20"/>
                <w:highlight w:val="none"/>
                <w:lang w:eastAsia="zh-CN"/>
              </w:rPr>
            </w:pPr>
            <w:r>
              <w:rPr>
                <w:rFonts w:hint="eastAsia"/>
                <w:color w:val="auto"/>
                <w:sz w:val="22"/>
                <w:szCs w:val="20"/>
                <w:highlight w:val="none"/>
              </w:rPr>
              <w:t>（六）</w:t>
            </w:r>
            <w:r>
              <w:rPr>
                <w:rFonts w:hint="eastAsia"/>
                <w:color w:val="auto"/>
                <w:sz w:val="22"/>
                <w:szCs w:val="20"/>
                <w:highlight w:val="none"/>
                <w:lang w:val="en-US" w:eastAsia="zh-CN"/>
              </w:rPr>
              <w:t>其他要求</w:t>
            </w:r>
          </w:p>
        </w:tc>
      </w:tr>
      <w:tr w14:paraId="24F4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579E3B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50B1B9BD">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3AE5E878">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0418DF49">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7B0F151D">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bl>
    <w:p w14:paraId="0F3261BD">
      <w:pPr>
        <w:keepNext w:val="0"/>
        <w:keepLines w:val="0"/>
        <w:pageBreakBefore w:val="0"/>
        <w:widowControl w:val="0"/>
        <w:kinsoku/>
        <w:wordWrap/>
        <w:overflowPunct/>
        <w:topLinePunct w:val="0"/>
        <w:autoSpaceDE/>
        <w:autoSpaceDN/>
        <w:bidi w:val="0"/>
        <w:adjustRightInd/>
        <w:spacing w:line="360" w:lineRule="auto"/>
        <w:textAlignment w:val="auto"/>
        <w:rPr>
          <w:color w:val="auto"/>
          <w:sz w:val="22"/>
          <w:szCs w:val="20"/>
          <w:highlight w:val="none"/>
        </w:rPr>
      </w:pPr>
      <w:r>
        <w:rPr>
          <w:color w:val="auto"/>
          <w:sz w:val="22"/>
          <w:szCs w:val="20"/>
          <w:highlight w:val="none"/>
        </w:rPr>
        <w:t>注：</w:t>
      </w:r>
      <w:r>
        <w:rPr>
          <w:rFonts w:hint="eastAsia"/>
          <w:color w:val="auto"/>
          <w:sz w:val="22"/>
          <w:szCs w:val="20"/>
          <w:highlight w:val="none"/>
          <w:lang w:val="en-US" w:eastAsia="zh-CN"/>
        </w:rPr>
        <w:t>1.</w:t>
      </w:r>
      <w:r>
        <w:rPr>
          <w:rFonts w:hint="eastAsia"/>
          <w:color w:val="auto"/>
          <w:sz w:val="22"/>
          <w:szCs w:val="20"/>
          <w:highlight w:val="none"/>
          <w:lang w:eastAsia="zh-CN"/>
        </w:rPr>
        <w:t>不提供此表视为无效投标。</w:t>
      </w:r>
    </w:p>
    <w:p w14:paraId="2056E0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color w:val="auto"/>
          <w:sz w:val="22"/>
          <w:szCs w:val="20"/>
          <w:highlight w:val="none"/>
        </w:rPr>
      </w:pPr>
      <w:r>
        <w:rPr>
          <w:rFonts w:hint="eastAsia"/>
          <w:color w:val="auto"/>
          <w:sz w:val="22"/>
          <w:szCs w:val="20"/>
          <w:highlight w:val="none"/>
          <w:lang w:val="en-US" w:eastAsia="zh-CN"/>
        </w:rPr>
        <w:t xml:space="preserve">    2.</w:t>
      </w:r>
      <w:r>
        <w:rPr>
          <w:color w:val="auto"/>
          <w:sz w:val="22"/>
          <w:szCs w:val="20"/>
          <w:highlight w:val="none"/>
        </w:rPr>
        <w:t>不如实填写偏离情况的视为虚假材料。</w:t>
      </w:r>
    </w:p>
    <w:p w14:paraId="20FF6FE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color w:val="auto"/>
          <w:sz w:val="22"/>
          <w:szCs w:val="20"/>
          <w:highlight w:val="none"/>
        </w:rPr>
      </w:pPr>
      <w:r>
        <w:rPr>
          <w:rFonts w:hint="eastAsia"/>
          <w:color w:val="auto"/>
          <w:sz w:val="22"/>
          <w:szCs w:val="20"/>
          <w:highlight w:val="none"/>
          <w:lang w:val="en-US" w:eastAsia="zh-CN"/>
        </w:rPr>
        <w:t xml:space="preserve">    3.</w:t>
      </w:r>
      <w:r>
        <w:rPr>
          <w:rFonts w:hint="eastAsia"/>
          <w:color w:val="auto"/>
          <w:sz w:val="22"/>
          <w:szCs w:val="20"/>
          <w:highlight w:val="none"/>
        </w:rPr>
        <w:t>条款号指项目需求书中的序号或者编号，项目需求书中标注“</w:t>
      </w:r>
      <w:r>
        <w:rPr>
          <w:rFonts w:hint="eastAsia" w:hAnsi="宋体" w:cs="宋体"/>
          <w:color w:val="auto"/>
          <w:sz w:val="22"/>
          <w:szCs w:val="22"/>
          <w:highlight w:val="none"/>
        </w:rPr>
        <w:t>●</w:t>
      </w:r>
      <w:r>
        <w:rPr>
          <w:rFonts w:hint="eastAsia"/>
          <w:color w:val="auto"/>
          <w:sz w:val="22"/>
          <w:szCs w:val="20"/>
          <w:highlight w:val="none"/>
        </w:rPr>
        <w:t>”的条款， 也必须在“条款号”中标注“</w:t>
      </w:r>
      <w:r>
        <w:rPr>
          <w:rFonts w:hint="eastAsia" w:hAnsi="宋体" w:cs="宋体"/>
          <w:color w:val="auto"/>
          <w:sz w:val="22"/>
          <w:szCs w:val="22"/>
          <w:highlight w:val="none"/>
        </w:rPr>
        <w:t>●</w:t>
      </w:r>
      <w:r>
        <w:rPr>
          <w:rFonts w:hint="eastAsia"/>
          <w:color w:val="auto"/>
          <w:sz w:val="22"/>
          <w:szCs w:val="20"/>
          <w:highlight w:val="none"/>
        </w:rPr>
        <w:t>”。</w:t>
      </w:r>
    </w:p>
    <w:p w14:paraId="110C9ADA">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sz w:val="22"/>
          <w:szCs w:val="20"/>
          <w:highlight w:val="none"/>
        </w:rPr>
      </w:pPr>
      <w:r>
        <w:rPr>
          <w:rFonts w:hint="eastAsia"/>
          <w:color w:val="auto"/>
          <w:sz w:val="22"/>
          <w:szCs w:val="20"/>
          <w:highlight w:val="none"/>
          <w:lang w:val="en-US" w:eastAsia="zh-CN"/>
        </w:rPr>
        <w:t xml:space="preserve">    4</w:t>
      </w:r>
      <w:r>
        <w:rPr>
          <w:color w:val="auto"/>
          <w:sz w:val="22"/>
          <w:szCs w:val="20"/>
          <w:highlight w:val="none"/>
        </w:rPr>
        <w:t>. 偏离说明指招标要求与投标应答之间的不同之处</w:t>
      </w:r>
      <w:r>
        <w:rPr>
          <w:rFonts w:hint="eastAsia"/>
          <w:color w:val="auto"/>
          <w:sz w:val="22"/>
          <w:szCs w:val="20"/>
          <w:highlight w:val="none"/>
          <w:lang w:eastAsia="zh-CN"/>
        </w:rPr>
        <w:t>，如：正偏离、负偏离、无偏离</w:t>
      </w:r>
      <w:r>
        <w:rPr>
          <w:color w:val="auto"/>
          <w:sz w:val="22"/>
          <w:szCs w:val="20"/>
          <w:highlight w:val="none"/>
        </w:rPr>
        <w:t>。</w:t>
      </w:r>
    </w:p>
    <w:p w14:paraId="39A05328">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sz w:val="22"/>
          <w:szCs w:val="20"/>
          <w:highlight w:val="none"/>
        </w:rPr>
      </w:pPr>
      <w:r>
        <w:rPr>
          <w:rFonts w:hint="eastAsia"/>
          <w:color w:val="auto"/>
          <w:sz w:val="22"/>
          <w:szCs w:val="20"/>
          <w:highlight w:val="none"/>
          <w:lang w:val="en-US" w:eastAsia="zh-CN"/>
        </w:rPr>
        <w:t xml:space="preserve">   </w:t>
      </w:r>
    </w:p>
    <w:p w14:paraId="145CEFDF">
      <w:pPr>
        <w:adjustRightInd w:val="0"/>
        <w:spacing w:line="360" w:lineRule="auto"/>
        <w:ind w:firstLine="440" w:firstLineChars="200"/>
        <w:jc w:val="left"/>
        <w:rPr>
          <w:rFonts w:hint="eastAsia" w:hAnsi="宋体"/>
          <w:color w:val="auto"/>
          <w:sz w:val="22"/>
          <w:szCs w:val="22"/>
          <w:highlight w:val="none"/>
          <w:lang w:val="en-US" w:eastAsia="zh-CN"/>
        </w:rPr>
      </w:pP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w:t>
      </w:r>
    </w:p>
    <w:p w14:paraId="33FA009A">
      <w:pPr>
        <w:adjustRightInd w:val="0"/>
        <w:spacing w:line="360" w:lineRule="auto"/>
        <w:ind w:firstLine="440" w:firstLineChars="200"/>
        <w:jc w:val="left"/>
        <w:rPr>
          <w:rFonts w:hAnsi="宋体"/>
          <w:color w:val="auto"/>
          <w:sz w:val="22"/>
          <w:szCs w:val="22"/>
          <w:highlight w:val="none"/>
        </w:rPr>
      </w:pPr>
      <w:r>
        <w:rPr>
          <w:rFonts w:hint="eastAsia" w:hAnsi="宋体"/>
          <w:color w:val="auto"/>
          <w:sz w:val="22"/>
          <w:szCs w:val="22"/>
          <w:highlight w:val="none"/>
          <w:lang w:val="en-US" w:eastAsia="zh-CN"/>
        </w:rPr>
        <w:t xml:space="preserve">                                </w:t>
      </w:r>
      <w:r>
        <w:rPr>
          <w:rFonts w:hint="eastAsia" w:hAnsi="宋体"/>
          <w:color w:val="auto"/>
          <w:sz w:val="22"/>
          <w:szCs w:val="22"/>
          <w:highlight w:val="none"/>
        </w:rPr>
        <w:t xml:space="preserve">投标人（公章）：         </w:t>
      </w:r>
    </w:p>
    <w:p w14:paraId="73C93E14">
      <w:pPr>
        <w:adjustRightInd w:val="0"/>
        <w:spacing w:line="360" w:lineRule="auto"/>
        <w:jc w:val="left"/>
        <w:rPr>
          <w:rFonts w:hAnsi="宋体"/>
          <w:bCs/>
          <w:color w:val="auto"/>
          <w:sz w:val="22"/>
          <w:szCs w:val="22"/>
          <w:highlight w:val="none"/>
        </w:rPr>
      </w:pPr>
      <w:r>
        <w:rPr>
          <w:rFonts w:hint="eastAsia" w:hAnsi="宋体"/>
          <w:color w:val="auto"/>
          <w:sz w:val="22"/>
          <w:szCs w:val="22"/>
          <w:highlight w:val="none"/>
        </w:rPr>
        <w:t xml:space="preserve">                                    法定代表人或</w:t>
      </w:r>
      <w:r>
        <w:rPr>
          <w:rFonts w:hint="eastAsia" w:hAnsi="宋体"/>
          <w:color w:val="auto"/>
          <w:sz w:val="22"/>
          <w:szCs w:val="22"/>
          <w:highlight w:val="none"/>
          <w:lang w:eastAsia="zh-CN"/>
        </w:rPr>
        <w:t>授权代表</w:t>
      </w:r>
      <w:r>
        <w:rPr>
          <w:rFonts w:hint="eastAsia" w:hAnsi="宋体"/>
          <w:color w:val="auto"/>
          <w:sz w:val="22"/>
          <w:szCs w:val="22"/>
          <w:highlight w:val="none"/>
        </w:rPr>
        <w:t>（签字</w:t>
      </w:r>
      <w:r>
        <w:rPr>
          <w:rFonts w:hint="eastAsia" w:hAnsi="宋体"/>
          <w:color w:val="auto"/>
          <w:sz w:val="22"/>
          <w:szCs w:val="22"/>
          <w:highlight w:val="none"/>
          <w:lang w:eastAsia="zh-CN"/>
        </w:rPr>
        <w:t>或盖章</w:t>
      </w:r>
      <w:r>
        <w:rPr>
          <w:rFonts w:hint="eastAsia" w:hAnsi="宋体"/>
          <w:color w:val="auto"/>
          <w:sz w:val="22"/>
          <w:szCs w:val="22"/>
          <w:highlight w:val="none"/>
        </w:rPr>
        <w:t>）：</w:t>
      </w:r>
    </w:p>
    <w:p w14:paraId="0EB5444B">
      <w:pPr>
        <w:autoSpaceDN w:val="0"/>
        <w:spacing w:line="360" w:lineRule="auto"/>
        <w:jc w:val="center"/>
        <w:outlineLvl w:val="9"/>
        <w:rPr>
          <w:rFonts w:hint="eastAsia" w:hAnsi="宋体"/>
          <w:color w:val="auto"/>
          <w:sz w:val="22"/>
          <w:szCs w:val="22"/>
          <w:highlight w:val="none"/>
        </w:rPr>
      </w:pPr>
      <w:r>
        <w:rPr>
          <w:rFonts w:hint="eastAsia" w:hAnsi="宋体"/>
          <w:bCs/>
          <w:color w:val="auto"/>
          <w:sz w:val="24"/>
          <w:szCs w:val="24"/>
          <w:highlight w:val="none"/>
        </w:rPr>
        <w:t xml:space="preserve">                       </w:t>
      </w:r>
      <w:r>
        <w:rPr>
          <w:rFonts w:hint="eastAsia" w:hAnsi="宋体"/>
          <w:bCs/>
          <w:color w:val="auto"/>
          <w:sz w:val="22"/>
          <w:szCs w:val="22"/>
          <w:highlight w:val="none"/>
        </w:rPr>
        <w:t>日  期</w:t>
      </w:r>
      <w:r>
        <w:rPr>
          <w:rFonts w:hAnsi="宋体"/>
          <w:bCs/>
          <w:color w:val="auto"/>
          <w:sz w:val="22"/>
          <w:szCs w:val="22"/>
          <w:highlight w:val="none"/>
        </w:rPr>
        <w:t>:</w:t>
      </w:r>
      <w:r>
        <w:rPr>
          <w:rFonts w:hint="eastAsia" w:hAnsi="宋体"/>
          <w:bCs/>
          <w:color w:val="auto"/>
          <w:sz w:val="22"/>
          <w:szCs w:val="22"/>
          <w:highlight w:val="none"/>
          <w:lang w:val="en-US" w:eastAsia="zh-CN"/>
        </w:rPr>
        <w:t xml:space="preserve">   </w:t>
      </w:r>
      <w:r>
        <w:rPr>
          <w:rFonts w:hAnsi="宋体"/>
          <w:color w:val="auto"/>
          <w:sz w:val="22"/>
          <w:szCs w:val="22"/>
          <w:highlight w:val="none"/>
        </w:rPr>
        <w:t>年</w:t>
      </w:r>
      <w:r>
        <w:rPr>
          <w:rFonts w:hint="eastAsia" w:hAnsi="宋体"/>
          <w:color w:val="auto"/>
          <w:sz w:val="22"/>
          <w:szCs w:val="22"/>
          <w:highlight w:val="none"/>
          <w:lang w:val="en-US" w:eastAsia="zh-CN"/>
        </w:rPr>
        <w:t xml:space="preserve">  </w:t>
      </w:r>
      <w:r>
        <w:rPr>
          <w:rFonts w:hAnsi="宋体"/>
          <w:color w:val="auto"/>
          <w:sz w:val="22"/>
          <w:szCs w:val="22"/>
          <w:highlight w:val="none"/>
        </w:rPr>
        <w:t>月</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日</w:t>
      </w:r>
    </w:p>
    <w:p w14:paraId="182F64E1">
      <w:pPr>
        <w:keepNext w:val="0"/>
        <w:keepLines w:val="0"/>
        <w:pageBreakBefore/>
        <w:widowControl w:val="0"/>
        <w:kinsoku/>
        <w:wordWrap/>
        <w:overflowPunct/>
        <w:topLinePunct w:val="0"/>
        <w:autoSpaceDE/>
        <w:autoSpaceDN w:val="0"/>
        <w:bidi w:val="0"/>
        <w:adjustRightInd/>
        <w:snapToGrid/>
        <w:spacing w:line="360" w:lineRule="auto"/>
        <w:jc w:val="center"/>
        <w:textAlignment w:val="auto"/>
        <w:outlineLvl w:val="2"/>
        <w:rPr>
          <w:color w:val="auto"/>
          <w:sz w:val="24"/>
          <w:highlight w:val="none"/>
        </w:rPr>
      </w:pPr>
      <w:r>
        <w:rPr>
          <w:rFonts w:hint="eastAsia"/>
          <w:color w:val="auto"/>
          <w:sz w:val="28"/>
          <w:szCs w:val="28"/>
          <w:highlight w:val="none"/>
          <w:lang w:val="en-US" w:eastAsia="zh-CN"/>
        </w:rPr>
        <w:t>八</w:t>
      </w:r>
      <w:r>
        <w:rPr>
          <w:rFonts w:hint="eastAsia"/>
          <w:color w:val="auto"/>
          <w:sz w:val="28"/>
          <w:szCs w:val="28"/>
          <w:highlight w:val="none"/>
        </w:rPr>
        <w:t>、</w:t>
      </w:r>
      <w:r>
        <w:rPr>
          <w:rFonts w:hint="eastAsia"/>
          <w:b/>
          <w:bCs/>
          <w:color w:val="auto"/>
          <w:sz w:val="28"/>
          <w:szCs w:val="28"/>
          <w:highlight w:val="none"/>
        </w:rPr>
        <w:t>服务承诺</w:t>
      </w:r>
    </w:p>
    <w:p w14:paraId="220E9689">
      <w:pPr>
        <w:keepNext w:val="0"/>
        <w:keepLines w:val="0"/>
        <w:pageBreakBefore w:val="0"/>
        <w:widowControl w:val="0"/>
        <w:kinsoku/>
        <w:wordWrap/>
        <w:overflowPunct/>
        <w:topLinePunct w:val="0"/>
        <w:autoSpaceDE/>
        <w:autoSpaceDN w:val="0"/>
        <w:bidi w:val="0"/>
        <w:snapToGrid/>
        <w:spacing w:line="440" w:lineRule="exact"/>
        <w:jc w:val="center"/>
        <w:textAlignment w:val="auto"/>
        <w:rPr>
          <w:b/>
          <w:bCs/>
          <w:color w:val="auto"/>
          <w:sz w:val="24"/>
          <w:highlight w:val="none"/>
        </w:rPr>
      </w:pPr>
      <w:r>
        <w:rPr>
          <w:rFonts w:hint="eastAsia"/>
          <w:b/>
          <w:bCs/>
          <w:color w:val="auto"/>
          <w:sz w:val="28"/>
          <w:szCs w:val="28"/>
          <w:highlight w:val="none"/>
        </w:rPr>
        <w:t>服务承诺</w:t>
      </w:r>
    </w:p>
    <w:p w14:paraId="0AB9D7DA">
      <w:pPr>
        <w:autoSpaceDE w:val="0"/>
        <w:autoSpaceDN w:val="0"/>
        <w:adjustRightInd w:val="0"/>
        <w:spacing w:line="360" w:lineRule="auto"/>
        <w:ind w:firstLine="480" w:firstLineChars="200"/>
        <w:rPr>
          <w:color w:val="auto"/>
          <w:sz w:val="24"/>
          <w:highlight w:val="none"/>
        </w:rPr>
      </w:pPr>
    </w:p>
    <w:p w14:paraId="4E8558CF">
      <w:pPr>
        <w:spacing w:line="620" w:lineRule="exact"/>
        <w:rPr>
          <w:rFonts w:hint="eastAsia" w:eastAsia="宋体"/>
          <w:color w:val="auto"/>
          <w:sz w:val="24"/>
          <w:highlight w:val="none"/>
          <w:lang w:eastAsia="zh-CN"/>
        </w:rPr>
      </w:pPr>
      <w:r>
        <w:rPr>
          <w:rFonts w:hint="eastAsia"/>
          <w:color w:val="auto"/>
          <w:sz w:val="24"/>
          <w:highlight w:val="none"/>
          <w:lang w:eastAsia="zh-CN"/>
        </w:rPr>
        <w:t>注：由投标人自拟格式。</w:t>
      </w:r>
    </w:p>
    <w:p w14:paraId="2AE7F842">
      <w:pPr>
        <w:spacing w:line="360" w:lineRule="auto"/>
        <w:ind w:firstLine="4080" w:firstLineChars="1700"/>
        <w:rPr>
          <w:rFonts w:hint="eastAsia"/>
          <w:color w:val="auto"/>
          <w:sz w:val="24"/>
          <w:highlight w:val="none"/>
          <w:lang w:eastAsia="zh-CN"/>
        </w:rPr>
      </w:pPr>
    </w:p>
    <w:p w14:paraId="2AB1EF4C">
      <w:pPr>
        <w:spacing w:line="360" w:lineRule="auto"/>
        <w:ind w:firstLine="4080" w:firstLineChars="1700"/>
        <w:rPr>
          <w:rFonts w:hint="eastAsia"/>
          <w:color w:val="auto"/>
          <w:sz w:val="24"/>
          <w:highlight w:val="none"/>
          <w:lang w:eastAsia="zh-CN"/>
        </w:rPr>
      </w:pPr>
    </w:p>
    <w:p w14:paraId="64CBB5BC">
      <w:pPr>
        <w:pStyle w:val="35"/>
        <w:tabs>
          <w:tab w:val="right" w:leader="dot" w:pos="8400"/>
        </w:tabs>
        <w:rPr>
          <w:rFonts w:hint="eastAsia"/>
          <w:color w:val="auto"/>
          <w:sz w:val="24"/>
          <w:highlight w:val="none"/>
          <w:lang w:eastAsia="zh-CN"/>
        </w:rPr>
      </w:pPr>
    </w:p>
    <w:p w14:paraId="69FB674B">
      <w:pPr>
        <w:rPr>
          <w:rFonts w:hint="eastAsia"/>
          <w:color w:val="auto"/>
          <w:sz w:val="24"/>
          <w:highlight w:val="none"/>
          <w:lang w:eastAsia="zh-CN"/>
        </w:rPr>
      </w:pPr>
    </w:p>
    <w:p w14:paraId="6976E84A">
      <w:pPr>
        <w:pStyle w:val="35"/>
        <w:tabs>
          <w:tab w:val="right" w:leader="dot" w:pos="8400"/>
        </w:tabs>
        <w:rPr>
          <w:rFonts w:hint="eastAsia"/>
          <w:lang w:eastAsia="zh-CN"/>
        </w:rPr>
      </w:pPr>
    </w:p>
    <w:p w14:paraId="34C51631">
      <w:pPr>
        <w:spacing w:line="360" w:lineRule="auto"/>
        <w:ind w:firstLine="4080" w:firstLineChars="1700"/>
        <w:rPr>
          <w:rFonts w:hint="eastAsia"/>
          <w:color w:val="auto"/>
          <w:sz w:val="24"/>
          <w:highlight w:val="none"/>
        </w:rPr>
      </w:pPr>
      <w:r>
        <w:rPr>
          <w:rFonts w:hint="eastAsia"/>
          <w:color w:val="auto"/>
          <w:sz w:val="24"/>
          <w:highlight w:val="none"/>
          <w:lang w:eastAsia="zh-CN"/>
        </w:rPr>
        <w:t>投标人（</w:t>
      </w:r>
      <w:r>
        <w:rPr>
          <w:rFonts w:hint="eastAsia"/>
          <w:color w:val="auto"/>
          <w:sz w:val="24"/>
          <w:highlight w:val="none"/>
        </w:rPr>
        <w:t>制造商</w:t>
      </w:r>
      <w:r>
        <w:rPr>
          <w:rFonts w:hint="eastAsia"/>
          <w:color w:val="auto"/>
          <w:sz w:val="24"/>
          <w:highlight w:val="none"/>
          <w:lang w:eastAsia="zh-CN"/>
        </w:rPr>
        <w:t>）</w:t>
      </w:r>
      <w:r>
        <w:rPr>
          <w:rFonts w:hint="eastAsia"/>
          <w:color w:val="auto"/>
          <w:sz w:val="24"/>
          <w:highlight w:val="none"/>
        </w:rPr>
        <w:t>（公章）：</w:t>
      </w:r>
    </w:p>
    <w:p w14:paraId="32F28EAF">
      <w:pPr>
        <w:spacing w:line="360" w:lineRule="auto"/>
        <w:ind w:firstLine="4080" w:firstLineChars="1700"/>
        <w:rPr>
          <w:color w:val="auto"/>
          <w:sz w:val="24"/>
          <w:highlight w:val="none"/>
        </w:rPr>
      </w:pPr>
      <w:r>
        <w:rPr>
          <w:color w:val="auto"/>
          <w:sz w:val="24"/>
          <w:highlight w:val="none"/>
        </w:rPr>
        <w:t>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6ACCC933">
      <w:pPr>
        <w:autoSpaceDN w:val="0"/>
        <w:spacing w:line="360" w:lineRule="auto"/>
        <w:jc w:val="center"/>
        <w:rPr>
          <w:rFonts w:hint="eastAsia" w:hAnsi="宋体"/>
          <w:b/>
          <w:color w:val="auto"/>
          <w:kern w:val="2"/>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34C8B6E">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2"/>
        <w:rPr>
          <w:rFonts w:hint="eastAsia" w:hAnsi="宋体"/>
          <w:b/>
          <w:bCs/>
          <w:color w:val="auto"/>
          <w:sz w:val="30"/>
          <w:szCs w:val="30"/>
          <w:highlight w:val="none"/>
          <w:lang w:eastAsia="zh-CN"/>
        </w:rPr>
      </w:pPr>
      <w:r>
        <w:rPr>
          <w:rFonts w:hint="eastAsia" w:ascii="宋体" w:hAnsi="宋体" w:cs="宋体"/>
          <w:b/>
          <w:bCs/>
          <w:kern w:val="2"/>
          <w:sz w:val="28"/>
          <w:szCs w:val="28"/>
          <w:lang w:val="en-US" w:eastAsia="zh-CN"/>
        </w:rPr>
        <w:t>九</w:t>
      </w:r>
      <w:r>
        <w:rPr>
          <w:rFonts w:hint="eastAsia" w:ascii="宋体" w:hAnsi="宋体" w:cs="宋体"/>
          <w:b/>
          <w:bCs/>
          <w:kern w:val="2"/>
          <w:sz w:val="28"/>
          <w:szCs w:val="28"/>
        </w:rPr>
        <w:t>、</w:t>
      </w:r>
      <w:bookmarkEnd w:id="104"/>
      <w:bookmarkEnd w:id="105"/>
      <w:bookmarkEnd w:id="106"/>
      <w:r>
        <w:rPr>
          <w:rFonts w:hint="eastAsia" w:hAnsi="宋体"/>
          <w:b/>
          <w:bCs/>
          <w:color w:val="auto"/>
          <w:sz w:val="30"/>
          <w:szCs w:val="30"/>
          <w:highlight w:val="none"/>
          <w:lang w:eastAsia="zh-CN"/>
        </w:rPr>
        <w:t>技术响应表</w:t>
      </w:r>
    </w:p>
    <w:p w14:paraId="7DD21A0C">
      <w:pPr>
        <w:spacing w:line="460" w:lineRule="exact"/>
        <w:rPr>
          <w:color w:val="auto"/>
          <w:sz w:val="24"/>
          <w:highlight w:val="none"/>
        </w:rPr>
      </w:pPr>
      <w:r>
        <w:rPr>
          <w:color w:val="auto"/>
          <w:sz w:val="24"/>
          <w:highlight w:val="none"/>
        </w:rPr>
        <w:t>项目名称：</w:t>
      </w:r>
    </w:p>
    <w:p w14:paraId="6622E736">
      <w:pPr>
        <w:spacing w:line="460" w:lineRule="exact"/>
        <w:rPr>
          <w:color w:val="auto"/>
          <w:sz w:val="24"/>
          <w:highlight w:val="none"/>
          <w:u w:val="single"/>
        </w:rPr>
      </w:pPr>
      <w:r>
        <w:rPr>
          <w:rFonts w:hint="eastAsia"/>
          <w:color w:val="auto"/>
          <w:sz w:val="24"/>
          <w:highlight w:val="none"/>
        </w:rPr>
        <w:t>招标文件</w:t>
      </w:r>
      <w:r>
        <w:rPr>
          <w:color w:val="auto"/>
          <w:sz w:val="24"/>
          <w:highlight w:val="none"/>
        </w:rPr>
        <w:t>编号：</w:t>
      </w:r>
      <w:r>
        <w:rPr>
          <w:rFonts w:hint="eastAsia"/>
          <w:color w:val="auto"/>
          <w:sz w:val="24"/>
          <w:highlight w:val="none"/>
          <w:lang w:val="en-US" w:eastAsia="zh-CN"/>
        </w:rPr>
        <w:t xml:space="preserve">                                        </w:t>
      </w:r>
      <w:r>
        <w:rPr>
          <w:color w:val="auto"/>
          <w:sz w:val="24"/>
          <w:highlight w:val="none"/>
        </w:rPr>
        <w:t>包号：</w:t>
      </w:r>
    </w:p>
    <w:tbl>
      <w:tblPr>
        <w:tblStyle w:val="4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2288"/>
        <w:gridCol w:w="2242"/>
        <w:gridCol w:w="1085"/>
        <w:gridCol w:w="1372"/>
      </w:tblGrid>
      <w:tr w14:paraId="0963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720" w:type="dxa"/>
            <w:gridSpan w:val="5"/>
            <w:vAlign w:val="center"/>
          </w:tcPr>
          <w:p w14:paraId="4CF6C912">
            <w:pPr>
              <w:widowControl/>
              <w:snapToGrid w:val="0"/>
              <w:rPr>
                <w:b/>
                <w:color w:val="auto"/>
                <w:sz w:val="24"/>
                <w:szCs w:val="21"/>
                <w:highlight w:val="none"/>
              </w:rPr>
            </w:pPr>
            <w:r>
              <w:rPr>
                <w:b/>
                <w:color w:val="auto"/>
                <w:sz w:val="24"/>
                <w:szCs w:val="21"/>
                <w:highlight w:val="none"/>
              </w:rPr>
              <w:t>项目需求书</w:t>
            </w:r>
            <w:r>
              <w:rPr>
                <w:rFonts w:hint="eastAsia"/>
                <w:b/>
                <w:color w:val="auto"/>
                <w:sz w:val="24"/>
                <w:szCs w:val="21"/>
                <w:highlight w:val="none"/>
              </w:rPr>
              <w:t>所有条款的应答</w:t>
            </w:r>
          </w:p>
        </w:tc>
      </w:tr>
      <w:tr w14:paraId="1B6A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33" w:type="dxa"/>
            <w:vAlign w:val="center"/>
          </w:tcPr>
          <w:p w14:paraId="7DD319FC">
            <w:pPr>
              <w:widowControl/>
              <w:snapToGrid w:val="0"/>
              <w:jc w:val="center"/>
              <w:rPr>
                <w:color w:val="auto"/>
                <w:sz w:val="24"/>
                <w:szCs w:val="21"/>
                <w:highlight w:val="none"/>
              </w:rPr>
            </w:pPr>
            <w:r>
              <w:rPr>
                <w:rFonts w:hint="eastAsia"/>
                <w:color w:val="auto"/>
                <w:sz w:val="24"/>
                <w:szCs w:val="21"/>
                <w:highlight w:val="none"/>
              </w:rPr>
              <w:t>条款号</w:t>
            </w:r>
          </w:p>
        </w:tc>
        <w:tc>
          <w:tcPr>
            <w:tcW w:w="2288" w:type="dxa"/>
            <w:vAlign w:val="center"/>
          </w:tcPr>
          <w:p w14:paraId="0AF02986">
            <w:pPr>
              <w:snapToGrid w:val="0"/>
              <w:jc w:val="center"/>
              <w:rPr>
                <w:color w:val="auto"/>
                <w:sz w:val="24"/>
                <w:szCs w:val="21"/>
                <w:highlight w:val="none"/>
              </w:rPr>
            </w:pPr>
            <w:r>
              <w:rPr>
                <w:color w:val="auto"/>
                <w:sz w:val="24"/>
                <w:szCs w:val="21"/>
                <w:highlight w:val="none"/>
              </w:rPr>
              <w:t>招标要求</w:t>
            </w:r>
          </w:p>
        </w:tc>
        <w:tc>
          <w:tcPr>
            <w:tcW w:w="2242" w:type="dxa"/>
            <w:vAlign w:val="center"/>
          </w:tcPr>
          <w:p w14:paraId="2460DCD3">
            <w:pPr>
              <w:widowControl/>
              <w:snapToGrid w:val="0"/>
              <w:jc w:val="center"/>
              <w:rPr>
                <w:color w:val="auto"/>
                <w:sz w:val="24"/>
                <w:szCs w:val="21"/>
                <w:highlight w:val="none"/>
              </w:rPr>
            </w:pPr>
            <w:r>
              <w:rPr>
                <w:color w:val="auto"/>
                <w:sz w:val="24"/>
                <w:szCs w:val="21"/>
                <w:highlight w:val="none"/>
              </w:rPr>
              <w:t>投标应答</w:t>
            </w:r>
          </w:p>
        </w:tc>
        <w:tc>
          <w:tcPr>
            <w:tcW w:w="1085" w:type="dxa"/>
            <w:vAlign w:val="center"/>
          </w:tcPr>
          <w:p w14:paraId="2211BAE2">
            <w:pPr>
              <w:widowControl/>
              <w:snapToGrid w:val="0"/>
              <w:jc w:val="center"/>
              <w:rPr>
                <w:color w:val="auto"/>
                <w:sz w:val="24"/>
                <w:szCs w:val="21"/>
                <w:highlight w:val="none"/>
              </w:rPr>
            </w:pPr>
            <w:r>
              <w:rPr>
                <w:color w:val="auto"/>
                <w:sz w:val="24"/>
                <w:szCs w:val="21"/>
                <w:highlight w:val="none"/>
              </w:rPr>
              <w:t>偏离</w:t>
            </w:r>
          </w:p>
          <w:p w14:paraId="6D991619">
            <w:pPr>
              <w:widowControl/>
              <w:snapToGrid w:val="0"/>
              <w:jc w:val="center"/>
              <w:rPr>
                <w:color w:val="auto"/>
                <w:sz w:val="24"/>
                <w:szCs w:val="21"/>
                <w:highlight w:val="none"/>
              </w:rPr>
            </w:pPr>
            <w:r>
              <w:rPr>
                <w:color w:val="auto"/>
                <w:sz w:val="24"/>
                <w:szCs w:val="21"/>
                <w:highlight w:val="none"/>
              </w:rPr>
              <w:t>说明</w:t>
            </w:r>
          </w:p>
        </w:tc>
        <w:tc>
          <w:tcPr>
            <w:tcW w:w="1372" w:type="dxa"/>
            <w:vAlign w:val="center"/>
          </w:tcPr>
          <w:p w14:paraId="0EE46125">
            <w:pPr>
              <w:widowControl/>
              <w:snapToGrid w:val="0"/>
              <w:jc w:val="center"/>
              <w:rPr>
                <w:color w:val="auto"/>
                <w:sz w:val="24"/>
                <w:szCs w:val="21"/>
                <w:highlight w:val="none"/>
              </w:rPr>
            </w:pPr>
            <w:r>
              <w:rPr>
                <w:rFonts w:hint="eastAsia"/>
                <w:color w:val="auto"/>
                <w:sz w:val="24"/>
                <w:szCs w:val="21"/>
                <w:highlight w:val="none"/>
              </w:rPr>
              <w:t>技术支撑材料所在页码</w:t>
            </w:r>
          </w:p>
        </w:tc>
      </w:tr>
      <w:tr w14:paraId="1CEB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33" w:type="dxa"/>
            <w:vAlign w:val="center"/>
          </w:tcPr>
          <w:p w14:paraId="4062773C">
            <w:pPr>
              <w:widowControl/>
              <w:snapToGrid w:val="0"/>
              <w:jc w:val="center"/>
              <w:rPr>
                <w:color w:val="auto"/>
                <w:sz w:val="24"/>
                <w:szCs w:val="21"/>
                <w:highlight w:val="none"/>
              </w:rPr>
            </w:pPr>
          </w:p>
        </w:tc>
        <w:tc>
          <w:tcPr>
            <w:tcW w:w="2288" w:type="dxa"/>
            <w:vAlign w:val="center"/>
          </w:tcPr>
          <w:p w14:paraId="35042A75">
            <w:pPr>
              <w:widowControl/>
              <w:snapToGrid w:val="0"/>
              <w:jc w:val="center"/>
              <w:rPr>
                <w:color w:val="auto"/>
                <w:sz w:val="24"/>
                <w:szCs w:val="21"/>
                <w:highlight w:val="none"/>
              </w:rPr>
            </w:pPr>
          </w:p>
        </w:tc>
        <w:tc>
          <w:tcPr>
            <w:tcW w:w="2242" w:type="dxa"/>
            <w:vAlign w:val="center"/>
          </w:tcPr>
          <w:p w14:paraId="6A7F0D0D">
            <w:pPr>
              <w:widowControl/>
              <w:snapToGrid w:val="0"/>
              <w:jc w:val="center"/>
              <w:rPr>
                <w:color w:val="auto"/>
                <w:sz w:val="24"/>
                <w:szCs w:val="21"/>
                <w:highlight w:val="none"/>
              </w:rPr>
            </w:pPr>
          </w:p>
        </w:tc>
        <w:tc>
          <w:tcPr>
            <w:tcW w:w="1085" w:type="dxa"/>
            <w:vAlign w:val="center"/>
          </w:tcPr>
          <w:p w14:paraId="6F1D58CA">
            <w:pPr>
              <w:widowControl/>
              <w:snapToGrid w:val="0"/>
              <w:jc w:val="center"/>
              <w:rPr>
                <w:color w:val="auto"/>
                <w:sz w:val="24"/>
                <w:szCs w:val="21"/>
                <w:highlight w:val="none"/>
              </w:rPr>
            </w:pPr>
          </w:p>
        </w:tc>
        <w:tc>
          <w:tcPr>
            <w:tcW w:w="1372" w:type="dxa"/>
            <w:vAlign w:val="center"/>
          </w:tcPr>
          <w:p w14:paraId="03C86EEB">
            <w:pPr>
              <w:widowControl/>
              <w:snapToGrid w:val="0"/>
              <w:jc w:val="center"/>
              <w:rPr>
                <w:color w:val="auto"/>
                <w:sz w:val="24"/>
                <w:szCs w:val="21"/>
                <w:highlight w:val="none"/>
              </w:rPr>
            </w:pPr>
          </w:p>
        </w:tc>
      </w:tr>
      <w:tr w14:paraId="0778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33" w:type="dxa"/>
            <w:vAlign w:val="center"/>
          </w:tcPr>
          <w:p w14:paraId="65A49673">
            <w:pPr>
              <w:widowControl/>
              <w:snapToGrid w:val="0"/>
              <w:jc w:val="center"/>
              <w:rPr>
                <w:color w:val="auto"/>
                <w:sz w:val="24"/>
                <w:szCs w:val="21"/>
                <w:highlight w:val="none"/>
              </w:rPr>
            </w:pPr>
          </w:p>
        </w:tc>
        <w:tc>
          <w:tcPr>
            <w:tcW w:w="2288" w:type="dxa"/>
            <w:vAlign w:val="center"/>
          </w:tcPr>
          <w:p w14:paraId="47CE7FB5">
            <w:pPr>
              <w:widowControl/>
              <w:snapToGrid w:val="0"/>
              <w:jc w:val="center"/>
              <w:rPr>
                <w:color w:val="auto"/>
                <w:sz w:val="24"/>
                <w:szCs w:val="21"/>
                <w:highlight w:val="none"/>
              </w:rPr>
            </w:pPr>
          </w:p>
        </w:tc>
        <w:tc>
          <w:tcPr>
            <w:tcW w:w="2242" w:type="dxa"/>
            <w:vAlign w:val="center"/>
          </w:tcPr>
          <w:p w14:paraId="721290EC">
            <w:pPr>
              <w:widowControl/>
              <w:snapToGrid w:val="0"/>
              <w:jc w:val="center"/>
              <w:rPr>
                <w:color w:val="auto"/>
                <w:sz w:val="24"/>
                <w:szCs w:val="21"/>
                <w:highlight w:val="none"/>
              </w:rPr>
            </w:pPr>
          </w:p>
        </w:tc>
        <w:tc>
          <w:tcPr>
            <w:tcW w:w="1085" w:type="dxa"/>
            <w:vAlign w:val="center"/>
          </w:tcPr>
          <w:p w14:paraId="10C1D8C7">
            <w:pPr>
              <w:widowControl/>
              <w:snapToGrid w:val="0"/>
              <w:jc w:val="center"/>
              <w:rPr>
                <w:color w:val="auto"/>
                <w:sz w:val="24"/>
                <w:szCs w:val="21"/>
                <w:highlight w:val="none"/>
              </w:rPr>
            </w:pPr>
          </w:p>
        </w:tc>
        <w:tc>
          <w:tcPr>
            <w:tcW w:w="1372" w:type="dxa"/>
            <w:vAlign w:val="center"/>
          </w:tcPr>
          <w:p w14:paraId="2105A686">
            <w:pPr>
              <w:widowControl/>
              <w:snapToGrid w:val="0"/>
              <w:rPr>
                <w:color w:val="auto"/>
                <w:sz w:val="24"/>
                <w:szCs w:val="21"/>
                <w:highlight w:val="none"/>
              </w:rPr>
            </w:pPr>
          </w:p>
        </w:tc>
      </w:tr>
      <w:tr w14:paraId="5F3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33" w:type="dxa"/>
            <w:vAlign w:val="center"/>
          </w:tcPr>
          <w:p w14:paraId="3D9513BD">
            <w:pPr>
              <w:widowControl/>
              <w:snapToGrid w:val="0"/>
              <w:jc w:val="center"/>
              <w:rPr>
                <w:color w:val="auto"/>
                <w:sz w:val="24"/>
                <w:szCs w:val="21"/>
                <w:highlight w:val="none"/>
              </w:rPr>
            </w:pPr>
          </w:p>
        </w:tc>
        <w:tc>
          <w:tcPr>
            <w:tcW w:w="2288" w:type="dxa"/>
            <w:vAlign w:val="center"/>
          </w:tcPr>
          <w:p w14:paraId="3C300D60">
            <w:pPr>
              <w:widowControl/>
              <w:snapToGrid w:val="0"/>
              <w:jc w:val="center"/>
              <w:rPr>
                <w:color w:val="auto"/>
                <w:sz w:val="24"/>
                <w:szCs w:val="21"/>
                <w:highlight w:val="none"/>
              </w:rPr>
            </w:pPr>
          </w:p>
        </w:tc>
        <w:tc>
          <w:tcPr>
            <w:tcW w:w="2242" w:type="dxa"/>
            <w:vAlign w:val="center"/>
          </w:tcPr>
          <w:p w14:paraId="35A13EBE">
            <w:pPr>
              <w:widowControl/>
              <w:snapToGrid w:val="0"/>
              <w:jc w:val="center"/>
              <w:rPr>
                <w:color w:val="auto"/>
                <w:sz w:val="24"/>
                <w:szCs w:val="21"/>
                <w:highlight w:val="none"/>
              </w:rPr>
            </w:pPr>
          </w:p>
        </w:tc>
        <w:tc>
          <w:tcPr>
            <w:tcW w:w="1085" w:type="dxa"/>
            <w:vAlign w:val="center"/>
          </w:tcPr>
          <w:p w14:paraId="33973F1E">
            <w:pPr>
              <w:widowControl/>
              <w:snapToGrid w:val="0"/>
              <w:jc w:val="center"/>
              <w:rPr>
                <w:color w:val="auto"/>
                <w:sz w:val="24"/>
                <w:szCs w:val="21"/>
                <w:highlight w:val="none"/>
              </w:rPr>
            </w:pPr>
          </w:p>
        </w:tc>
        <w:tc>
          <w:tcPr>
            <w:tcW w:w="1372" w:type="dxa"/>
            <w:vAlign w:val="center"/>
          </w:tcPr>
          <w:p w14:paraId="54C59F54">
            <w:pPr>
              <w:widowControl/>
              <w:snapToGrid w:val="0"/>
              <w:rPr>
                <w:color w:val="auto"/>
                <w:sz w:val="24"/>
                <w:szCs w:val="21"/>
                <w:highlight w:val="none"/>
              </w:rPr>
            </w:pPr>
          </w:p>
        </w:tc>
      </w:tr>
      <w:tr w14:paraId="320E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33" w:type="dxa"/>
            <w:vAlign w:val="center"/>
          </w:tcPr>
          <w:p w14:paraId="3465BCAD">
            <w:pPr>
              <w:widowControl/>
              <w:snapToGrid w:val="0"/>
              <w:jc w:val="center"/>
              <w:rPr>
                <w:color w:val="auto"/>
                <w:sz w:val="24"/>
                <w:szCs w:val="21"/>
                <w:highlight w:val="none"/>
              </w:rPr>
            </w:pPr>
          </w:p>
        </w:tc>
        <w:tc>
          <w:tcPr>
            <w:tcW w:w="2288" w:type="dxa"/>
            <w:vAlign w:val="center"/>
          </w:tcPr>
          <w:p w14:paraId="2DC924E1">
            <w:pPr>
              <w:widowControl/>
              <w:snapToGrid w:val="0"/>
              <w:jc w:val="center"/>
              <w:rPr>
                <w:color w:val="auto"/>
                <w:sz w:val="24"/>
                <w:szCs w:val="21"/>
                <w:highlight w:val="none"/>
              </w:rPr>
            </w:pPr>
          </w:p>
        </w:tc>
        <w:tc>
          <w:tcPr>
            <w:tcW w:w="2242" w:type="dxa"/>
            <w:vAlign w:val="center"/>
          </w:tcPr>
          <w:p w14:paraId="0FAE4048">
            <w:pPr>
              <w:widowControl/>
              <w:snapToGrid w:val="0"/>
              <w:jc w:val="center"/>
              <w:rPr>
                <w:color w:val="auto"/>
                <w:sz w:val="24"/>
                <w:szCs w:val="21"/>
                <w:highlight w:val="none"/>
              </w:rPr>
            </w:pPr>
          </w:p>
        </w:tc>
        <w:tc>
          <w:tcPr>
            <w:tcW w:w="1085" w:type="dxa"/>
            <w:vAlign w:val="center"/>
          </w:tcPr>
          <w:p w14:paraId="1A3A8837">
            <w:pPr>
              <w:widowControl/>
              <w:snapToGrid w:val="0"/>
              <w:jc w:val="center"/>
              <w:rPr>
                <w:color w:val="auto"/>
                <w:sz w:val="24"/>
                <w:szCs w:val="21"/>
                <w:highlight w:val="none"/>
              </w:rPr>
            </w:pPr>
          </w:p>
        </w:tc>
        <w:tc>
          <w:tcPr>
            <w:tcW w:w="1372" w:type="dxa"/>
            <w:vAlign w:val="center"/>
          </w:tcPr>
          <w:p w14:paraId="7E02455F">
            <w:pPr>
              <w:widowControl/>
              <w:snapToGrid w:val="0"/>
              <w:rPr>
                <w:color w:val="auto"/>
                <w:sz w:val="24"/>
                <w:szCs w:val="21"/>
                <w:highlight w:val="none"/>
              </w:rPr>
            </w:pPr>
          </w:p>
        </w:tc>
      </w:tr>
    </w:tbl>
    <w:p w14:paraId="11272E40">
      <w:pPr>
        <w:snapToGrid w:val="0"/>
        <w:spacing w:line="480" w:lineRule="exact"/>
        <w:rPr>
          <w:color w:val="auto"/>
          <w:sz w:val="24"/>
          <w:highlight w:val="none"/>
        </w:rPr>
      </w:pPr>
      <w:r>
        <w:rPr>
          <w:color w:val="auto"/>
          <w:sz w:val="24"/>
          <w:highlight w:val="none"/>
        </w:rPr>
        <w:t>注：</w:t>
      </w:r>
    </w:p>
    <w:p w14:paraId="726AC203">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lang w:eastAsia="zh-CN"/>
        </w:rPr>
        <w:t>不提供此表视为无效投标。</w:t>
      </w:r>
    </w:p>
    <w:p w14:paraId="10EFB850">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textAlignment w:val="auto"/>
        <w:rPr>
          <w:color w:val="auto"/>
          <w:sz w:val="24"/>
          <w:highlight w:val="none"/>
        </w:rPr>
      </w:pPr>
      <w:r>
        <w:rPr>
          <w:color w:val="auto"/>
          <w:sz w:val="24"/>
          <w:highlight w:val="none"/>
        </w:rPr>
        <w:t>不如实填写偏离情况的视为虚假材料。</w:t>
      </w:r>
    </w:p>
    <w:p w14:paraId="13D932E3">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rPr>
        <w:t>条款号指项目需求书中的序号或者编号，项目需求书中标注“</w:t>
      </w:r>
      <w:r>
        <w:rPr>
          <w:rFonts w:hint="eastAsia" w:hAnsi="宋体" w:cs="宋体"/>
          <w:color w:val="auto"/>
          <w:sz w:val="24"/>
          <w:szCs w:val="24"/>
          <w:highlight w:val="none"/>
        </w:rPr>
        <w:t>●</w:t>
      </w:r>
      <w:r>
        <w:rPr>
          <w:rFonts w:hint="eastAsia"/>
          <w:color w:val="auto"/>
          <w:sz w:val="24"/>
          <w:highlight w:val="none"/>
        </w:rPr>
        <w:t>”的条款， 也必须在“条款号”中标注“</w:t>
      </w:r>
      <w:r>
        <w:rPr>
          <w:rFonts w:hint="eastAsia" w:hAnsi="宋体" w:cs="宋体"/>
          <w:color w:val="auto"/>
          <w:sz w:val="24"/>
          <w:szCs w:val="24"/>
          <w:highlight w:val="none"/>
        </w:rPr>
        <w:t>●</w:t>
      </w:r>
      <w:r>
        <w:rPr>
          <w:rFonts w:hint="eastAsia"/>
          <w:color w:val="auto"/>
          <w:sz w:val="24"/>
          <w:highlight w:val="none"/>
        </w:rPr>
        <w:t>”。</w:t>
      </w:r>
    </w:p>
    <w:p w14:paraId="58DEECA9">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lang w:val="en-US" w:eastAsia="zh-CN"/>
        </w:rPr>
        <w:t>4</w:t>
      </w:r>
      <w:r>
        <w:rPr>
          <w:color w:val="auto"/>
          <w:sz w:val="24"/>
          <w:highlight w:val="none"/>
        </w:rPr>
        <w:t>. 偏离说明指招标要求与投标应答之间的不同之处</w:t>
      </w:r>
      <w:r>
        <w:rPr>
          <w:rFonts w:hint="eastAsia"/>
          <w:color w:val="auto"/>
          <w:sz w:val="24"/>
          <w:highlight w:val="none"/>
          <w:lang w:eastAsia="zh-CN"/>
        </w:rPr>
        <w:t>，如：正偏离、负偏离、无偏离</w:t>
      </w:r>
      <w:r>
        <w:rPr>
          <w:color w:val="auto"/>
          <w:sz w:val="24"/>
          <w:highlight w:val="none"/>
        </w:rPr>
        <w:t>。</w:t>
      </w:r>
    </w:p>
    <w:p w14:paraId="5EC47B64">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lang w:val="en-US" w:eastAsia="zh-CN"/>
        </w:rPr>
        <w:t>5</w:t>
      </w:r>
      <w:r>
        <w:rPr>
          <w:rFonts w:hint="eastAsia"/>
          <w:color w:val="auto"/>
          <w:sz w:val="24"/>
          <w:highlight w:val="none"/>
        </w:rPr>
        <w:t>. 投标人在《技术响应表》的投标应答中必须列出具体数值或内容。如投标人未应答或只注明“符合”、“满足”等类似无具体内容的表述，将被视为不符合招标文件要求。投标人自行承担由此造成的一切后果。</w:t>
      </w:r>
    </w:p>
    <w:p w14:paraId="18EB17A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 技术支撑材料是指招标文件要求提供的技术支撑材料等。未提供页码或提供页码不准确的视为无技术支撑材料。</w:t>
      </w:r>
    </w:p>
    <w:p w14:paraId="576C2547">
      <w:pPr>
        <w:pStyle w:val="35"/>
        <w:tabs>
          <w:tab w:val="right" w:leader="dot" w:pos="8400"/>
        </w:tabs>
      </w:pPr>
    </w:p>
    <w:p w14:paraId="3F060806">
      <w:pPr>
        <w:spacing w:line="360" w:lineRule="auto"/>
        <w:ind w:firstLine="4080" w:firstLineChars="1700"/>
        <w:rPr>
          <w:color w:val="auto"/>
          <w:sz w:val="24"/>
          <w:highlight w:val="none"/>
        </w:rPr>
      </w:pPr>
      <w:r>
        <w:rPr>
          <w:color w:val="auto"/>
          <w:sz w:val="24"/>
          <w:highlight w:val="none"/>
        </w:rPr>
        <w:t>投标人</w:t>
      </w:r>
      <w:r>
        <w:rPr>
          <w:rFonts w:hint="eastAsia"/>
          <w:color w:val="auto"/>
          <w:sz w:val="24"/>
          <w:highlight w:val="none"/>
        </w:rPr>
        <w:t>（</w:t>
      </w:r>
      <w:r>
        <w:rPr>
          <w:rFonts w:hint="eastAsia" w:hAnsi="宋体"/>
          <w:color w:val="auto"/>
          <w:sz w:val="24"/>
          <w:szCs w:val="24"/>
          <w:highlight w:val="none"/>
        </w:rPr>
        <w:t>公章</w:t>
      </w:r>
      <w:r>
        <w:rPr>
          <w:rFonts w:hint="eastAsia"/>
          <w:color w:val="auto"/>
          <w:sz w:val="24"/>
          <w:highlight w:val="none"/>
        </w:rPr>
        <w:t>）</w:t>
      </w:r>
      <w:r>
        <w:rPr>
          <w:color w:val="auto"/>
          <w:sz w:val="24"/>
          <w:highlight w:val="none"/>
        </w:rPr>
        <w:t>：</w:t>
      </w:r>
    </w:p>
    <w:p w14:paraId="136D19B5">
      <w:pPr>
        <w:spacing w:line="360" w:lineRule="auto"/>
        <w:ind w:firstLine="4080" w:firstLineChars="1700"/>
        <w:rPr>
          <w:rFonts w:hAnsi="宋体"/>
          <w:b/>
          <w:color w:val="auto"/>
          <w:sz w:val="24"/>
          <w:szCs w:val="24"/>
          <w:highlight w:val="none"/>
        </w:rPr>
      </w:pPr>
      <w:r>
        <w:rPr>
          <w:color w:val="auto"/>
          <w:sz w:val="24"/>
          <w:highlight w:val="none"/>
        </w:rPr>
        <w:t>日期：年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p w14:paraId="70E01251">
      <w:pPr>
        <w:pStyle w:val="22"/>
        <w:adjustRightInd w:val="0"/>
        <w:snapToGrid w:val="0"/>
        <w:spacing w:beforeLines="50" w:line="360" w:lineRule="auto"/>
        <w:jc w:val="left"/>
        <w:rPr>
          <w:rFonts w:hAnsi="宋体" w:cs="Times New Roman"/>
          <w:sz w:val="22"/>
          <w:szCs w:val="22"/>
        </w:rPr>
      </w:pPr>
    </w:p>
    <w:bookmarkEnd w:id="103"/>
    <w:p w14:paraId="79E63A69">
      <w:pPr>
        <w:pStyle w:val="5"/>
        <w:keepNext w:val="0"/>
        <w:keepLines w:val="0"/>
        <w:pageBreakBefore/>
        <w:widowControl w:val="0"/>
        <w:numPr>
          <w:ilvl w:val="0"/>
          <w:numId w:val="0"/>
        </w:numPr>
        <w:kinsoku/>
        <w:wordWrap/>
        <w:overflowPunct/>
        <w:topLinePunct w:val="0"/>
        <w:autoSpaceDE/>
        <w:autoSpaceDN/>
        <w:bidi w:val="0"/>
        <w:adjustRightInd w:val="0"/>
        <w:snapToGrid/>
        <w:spacing w:before="0" w:after="0" w:line="360" w:lineRule="auto"/>
        <w:jc w:val="center"/>
        <w:textAlignment w:val="baseline"/>
        <w:outlineLvl w:val="2"/>
        <w:rPr>
          <w:rFonts w:hint="eastAsia" w:ascii="宋体" w:hAnsi="宋体" w:eastAsia="宋体"/>
          <w:b/>
          <w:bCs/>
          <w:color w:val="auto"/>
          <w:sz w:val="30"/>
          <w:szCs w:val="30"/>
          <w:highlight w:val="none"/>
          <w:lang w:eastAsia="zh-CN"/>
        </w:rPr>
      </w:pPr>
      <w:bookmarkStart w:id="107" w:name="_Toc31986"/>
      <w:bookmarkStart w:id="108" w:name="_Toc28368"/>
      <w:bookmarkStart w:id="109" w:name="_Toc30860"/>
      <w:r>
        <w:rPr>
          <w:rFonts w:hint="eastAsia" w:ascii="宋体" w:hAnsi="宋体" w:cs="宋体"/>
          <w:b/>
          <w:bCs/>
          <w:kern w:val="2"/>
          <w:sz w:val="28"/>
          <w:szCs w:val="28"/>
          <w:lang w:val="en-US" w:eastAsia="zh-CN"/>
        </w:rPr>
        <w:t>十</w:t>
      </w:r>
      <w:r>
        <w:rPr>
          <w:rFonts w:hint="eastAsia" w:ascii="宋体" w:hAnsi="宋体" w:cs="宋体"/>
          <w:b/>
          <w:bCs/>
          <w:kern w:val="2"/>
          <w:sz w:val="28"/>
          <w:szCs w:val="28"/>
        </w:rPr>
        <w:t>、</w:t>
      </w:r>
      <w:r>
        <w:rPr>
          <w:rFonts w:hint="eastAsia" w:ascii="宋体" w:hAnsi="宋体" w:eastAsia="宋体"/>
          <w:b/>
          <w:color w:val="auto"/>
          <w:kern w:val="2"/>
          <w:sz w:val="28"/>
          <w:szCs w:val="28"/>
          <w:highlight w:val="none"/>
          <w:lang w:val="en-US" w:eastAsia="zh-CN" w:bidi="ar-SA"/>
        </w:rPr>
        <w:t>投标人本项目管理、技术、服务人员情况表</w:t>
      </w:r>
    </w:p>
    <w:p w14:paraId="5FEA8C76">
      <w:pPr>
        <w:spacing w:line="360" w:lineRule="auto"/>
        <w:rPr>
          <w:rFonts w:hint="eastAsia" w:ascii="宋体" w:hAnsi="宋体" w:cs="Arial"/>
          <w:bCs/>
          <w:color w:val="auto"/>
          <w:sz w:val="24"/>
          <w:szCs w:val="24"/>
          <w:highlight w:val="none"/>
          <w:lang w:val="en-US" w:eastAsia="zh-CN"/>
        </w:rPr>
      </w:pPr>
    </w:p>
    <w:p w14:paraId="7E6D4CCF">
      <w:pPr>
        <w:spacing w:line="360" w:lineRule="auto"/>
        <w:rPr>
          <w:rFonts w:hint="eastAsia" w:ascii="宋体" w:hAnsi="宋体"/>
          <w:b/>
          <w:color w:val="auto"/>
          <w:kern w:val="2"/>
          <w:sz w:val="24"/>
          <w:szCs w:val="24"/>
          <w:highlight w:val="none"/>
          <w:lang w:val="en-US" w:eastAsia="zh-CN" w:bidi="ar-SA"/>
        </w:rPr>
      </w:pPr>
      <w:r>
        <w:rPr>
          <w:rFonts w:hint="eastAsia" w:ascii="宋体" w:hAnsi="宋体" w:cs="Arial"/>
          <w:bCs/>
          <w:color w:val="auto"/>
          <w:sz w:val="24"/>
          <w:szCs w:val="24"/>
          <w:highlight w:val="none"/>
        </w:rPr>
        <w:t>招标文件编号：</w:t>
      </w:r>
    </w:p>
    <w:tbl>
      <w:tblPr>
        <w:tblStyle w:val="46"/>
        <w:tblpPr w:leftFromText="180" w:rightFromText="180" w:vertAnchor="text" w:horzAnchor="page" w:tblpX="1742" w:tblpY="1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05"/>
        <w:gridCol w:w="806"/>
        <w:gridCol w:w="806"/>
        <w:gridCol w:w="933"/>
        <w:gridCol w:w="924"/>
        <w:gridCol w:w="739"/>
        <w:gridCol w:w="841"/>
        <w:gridCol w:w="966"/>
      </w:tblGrid>
      <w:tr w14:paraId="04E4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936" w:type="dxa"/>
            <w:vMerge w:val="restart"/>
            <w:noWrap w:val="0"/>
            <w:vAlign w:val="center"/>
          </w:tcPr>
          <w:p w14:paraId="10351B8D">
            <w:pPr>
              <w:spacing w:line="360" w:lineRule="auto"/>
              <w:rPr>
                <w:rFonts w:hint="eastAsia" w:ascii="宋体" w:hAnsi="宋体" w:cs="Arial"/>
                <w:color w:val="auto"/>
                <w:sz w:val="24"/>
                <w:szCs w:val="24"/>
                <w:highlight w:val="none"/>
              </w:rPr>
            </w:pPr>
            <w:r>
              <w:rPr>
                <w:rFonts w:hint="eastAsia" w:ascii="宋体" w:hAnsi="宋体" w:cs="Arial"/>
                <w:b/>
                <w:bCs/>
                <w:color w:val="auto"/>
                <w:sz w:val="24"/>
                <w:szCs w:val="24"/>
                <w:highlight w:val="none"/>
              </w:rPr>
              <w:t xml:space="preserve"> </w:t>
            </w:r>
            <w:r>
              <w:rPr>
                <w:rFonts w:hint="eastAsia" w:ascii="宋体" w:hAnsi="宋体" w:cs="Arial"/>
                <w:color w:val="auto"/>
                <w:sz w:val="24"/>
                <w:szCs w:val="24"/>
                <w:highlight w:val="none"/>
              </w:rPr>
              <w:t>类别</w:t>
            </w:r>
          </w:p>
        </w:tc>
        <w:tc>
          <w:tcPr>
            <w:tcW w:w="805" w:type="dxa"/>
            <w:vMerge w:val="restart"/>
            <w:noWrap w:val="0"/>
            <w:vAlign w:val="center"/>
          </w:tcPr>
          <w:p w14:paraId="01B974FC">
            <w:pPr>
              <w:spacing w:line="360" w:lineRule="auto"/>
              <w:jc w:val="center"/>
              <w:rPr>
                <w:rFonts w:hint="eastAsia" w:ascii="宋体" w:hAnsi="宋体" w:cs="Arial"/>
                <w:color w:val="auto"/>
                <w:sz w:val="24"/>
                <w:szCs w:val="24"/>
                <w:highlight w:val="none"/>
              </w:rPr>
            </w:pPr>
            <w:r>
              <w:rPr>
                <w:rFonts w:hint="eastAsia" w:ascii="宋体" w:hAnsi="宋体" w:cs="Arial"/>
                <w:color w:val="auto"/>
                <w:sz w:val="24"/>
                <w:szCs w:val="24"/>
                <w:highlight w:val="none"/>
              </w:rPr>
              <w:t>职务</w:t>
            </w:r>
          </w:p>
        </w:tc>
        <w:tc>
          <w:tcPr>
            <w:tcW w:w="806" w:type="dxa"/>
            <w:vMerge w:val="restart"/>
            <w:noWrap w:val="0"/>
            <w:vAlign w:val="center"/>
          </w:tcPr>
          <w:p w14:paraId="481C97DB">
            <w:pPr>
              <w:spacing w:line="360" w:lineRule="auto"/>
              <w:jc w:val="center"/>
              <w:rPr>
                <w:rFonts w:hint="eastAsia" w:ascii="宋体" w:hAnsi="宋体" w:cs="Arial"/>
                <w:color w:val="auto"/>
                <w:sz w:val="24"/>
                <w:szCs w:val="24"/>
                <w:highlight w:val="none"/>
              </w:rPr>
            </w:pPr>
            <w:r>
              <w:rPr>
                <w:rFonts w:hint="eastAsia" w:ascii="宋体" w:hAnsi="宋体" w:cs="Arial"/>
                <w:color w:val="auto"/>
                <w:sz w:val="24"/>
                <w:szCs w:val="24"/>
                <w:highlight w:val="none"/>
              </w:rPr>
              <w:t>姓名</w:t>
            </w:r>
          </w:p>
        </w:tc>
        <w:tc>
          <w:tcPr>
            <w:tcW w:w="806" w:type="dxa"/>
            <w:vMerge w:val="restart"/>
            <w:noWrap w:val="0"/>
            <w:vAlign w:val="center"/>
          </w:tcPr>
          <w:p w14:paraId="79640561">
            <w:pPr>
              <w:spacing w:line="360" w:lineRule="auto"/>
              <w:jc w:val="center"/>
              <w:rPr>
                <w:rFonts w:hint="eastAsia" w:ascii="宋体" w:hAnsi="宋体" w:cs="Arial"/>
                <w:color w:val="auto"/>
                <w:sz w:val="24"/>
                <w:szCs w:val="24"/>
                <w:highlight w:val="none"/>
              </w:rPr>
            </w:pPr>
            <w:r>
              <w:rPr>
                <w:rFonts w:hint="eastAsia" w:ascii="宋体" w:hAnsi="宋体" w:cs="Arial"/>
                <w:color w:val="auto"/>
                <w:sz w:val="24"/>
                <w:szCs w:val="24"/>
                <w:highlight w:val="none"/>
              </w:rPr>
              <w:t>职称</w:t>
            </w:r>
          </w:p>
        </w:tc>
        <w:tc>
          <w:tcPr>
            <w:tcW w:w="933" w:type="dxa"/>
            <w:vMerge w:val="restart"/>
            <w:noWrap w:val="0"/>
            <w:vAlign w:val="center"/>
          </w:tcPr>
          <w:p w14:paraId="12CB491A">
            <w:pPr>
              <w:spacing w:line="360" w:lineRule="auto"/>
              <w:jc w:val="center"/>
              <w:rPr>
                <w:rFonts w:hint="eastAsia" w:ascii="宋体" w:hAnsi="宋体" w:cs="Arial"/>
                <w:color w:val="auto"/>
                <w:sz w:val="24"/>
                <w:szCs w:val="24"/>
                <w:highlight w:val="none"/>
              </w:rPr>
            </w:pPr>
            <w:r>
              <w:rPr>
                <w:rFonts w:hint="eastAsia" w:ascii="宋体" w:hAnsi="宋体" w:cs="Arial"/>
                <w:color w:val="auto"/>
                <w:sz w:val="24"/>
                <w:szCs w:val="24"/>
                <w:highlight w:val="none"/>
              </w:rPr>
              <w:t>常住地</w:t>
            </w:r>
          </w:p>
        </w:tc>
        <w:tc>
          <w:tcPr>
            <w:tcW w:w="3470" w:type="dxa"/>
            <w:gridSpan w:val="4"/>
            <w:noWrap w:val="0"/>
            <w:vAlign w:val="center"/>
          </w:tcPr>
          <w:p w14:paraId="0DAE3F62">
            <w:pPr>
              <w:spacing w:line="360" w:lineRule="auto"/>
              <w:jc w:val="center"/>
              <w:rPr>
                <w:rFonts w:hint="eastAsia" w:ascii="宋体" w:hAnsi="宋体" w:cs="Arial"/>
                <w:color w:val="auto"/>
                <w:sz w:val="24"/>
                <w:szCs w:val="24"/>
                <w:highlight w:val="none"/>
              </w:rPr>
            </w:pPr>
            <w:r>
              <w:rPr>
                <w:rFonts w:hint="eastAsia" w:ascii="宋体" w:hAnsi="宋体" w:cs="Arial"/>
                <w:color w:val="auto"/>
                <w:sz w:val="24"/>
                <w:szCs w:val="24"/>
                <w:highlight w:val="none"/>
              </w:rPr>
              <w:t>资格证明（附</w:t>
            </w:r>
            <w:r>
              <w:rPr>
                <w:rFonts w:hint="eastAsia" w:hAnsi="宋体" w:cs="Arial"/>
                <w:color w:val="auto"/>
                <w:sz w:val="24"/>
                <w:szCs w:val="24"/>
                <w:highlight w:val="none"/>
                <w:lang w:eastAsia="zh-CN"/>
              </w:rPr>
              <w:t>原件彩色扫描件</w:t>
            </w:r>
            <w:r>
              <w:rPr>
                <w:rFonts w:hint="eastAsia" w:ascii="宋体" w:hAnsi="宋体" w:cs="Arial"/>
                <w:color w:val="auto"/>
                <w:sz w:val="24"/>
                <w:szCs w:val="24"/>
                <w:highlight w:val="none"/>
              </w:rPr>
              <w:t>）</w:t>
            </w:r>
          </w:p>
        </w:tc>
      </w:tr>
      <w:tr w14:paraId="770C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936" w:type="dxa"/>
            <w:vMerge w:val="continue"/>
            <w:noWrap w:val="0"/>
            <w:vAlign w:val="center"/>
          </w:tcPr>
          <w:p w14:paraId="41D1F29A">
            <w:pPr>
              <w:spacing w:line="360" w:lineRule="auto"/>
              <w:jc w:val="center"/>
              <w:rPr>
                <w:rFonts w:hint="eastAsia" w:ascii="宋体" w:hAnsi="宋体" w:cs="Arial"/>
                <w:color w:val="auto"/>
                <w:sz w:val="24"/>
                <w:szCs w:val="24"/>
                <w:highlight w:val="none"/>
              </w:rPr>
            </w:pPr>
          </w:p>
        </w:tc>
        <w:tc>
          <w:tcPr>
            <w:tcW w:w="805" w:type="dxa"/>
            <w:vMerge w:val="continue"/>
            <w:noWrap w:val="0"/>
            <w:vAlign w:val="center"/>
          </w:tcPr>
          <w:p w14:paraId="3A25A0E9">
            <w:pPr>
              <w:spacing w:line="360" w:lineRule="auto"/>
              <w:jc w:val="center"/>
              <w:rPr>
                <w:rFonts w:hint="eastAsia" w:ascii="宋体" w:hAnsi="宋体" w:cs="Arial"/>
                <w:color w:val="auto"/>
                <w:sz w:val="24"/>
                <w:szCs w:val="24"/>
                <w:highlight w:val="none"/>
              </w:rPr>
            </w:pPr>
          </w:p>
        </w:tc>
        <w:tc>
          <w:tcPr>
            <w:tcW w:w="806" w:type="dxa"/>
            <w:vMerge w:val="continue"/>
            <w:noWrap w:val="0"/>
            <w:vAlign w:val="center"/>
          </w:tcPr>
          <w:p w14:paraId="377E8989">
            <w:pPr>
              <w:spacing w:line="360" w:lineRule="auto"/>
              <w:jc w:val="center"/>
              <w:rPr>
                <w:rFonts w:hint="eastAsia" w:ascii="宋体" w:hAnsi="宋体" w:cs="Arial"/>
                <w:color w:val="auto"/>
                <w:sz w:val="24"/>
                <w:szCs w:val="24"/>
                <w:highlight w:val="none"/>
              </w:rPr>
            </w:pPr>
          </w:p>
        </w:tc>
        <w:tc>
          <w:tcPr>
            <w:tcW w:w="806" w:type="dxa"/>
            <w:vMerge w:val="continue"/>
            <w:noWrap w:val="0"/>
            <w:vAlign w:val="center"/>
          </w:tcPr>
          <w:p w14:paraId="1BC5144B">
            <w:pPr>
              <w:spacing w:line="360" w:lineRule="auto"/>
              <w:jc w:val="center"/>
              <w:rPr>
                <w:rFonts w:hint="eastAsia" w:ascii="宋体" w:hAnsi="宋体" w:cs="Arial"/>
                <w:color w:val="auto"/>
                <w:sz w:val="24"/>
                <w:szCs w:val="24"/>
                <w:highlight w:val="none"/>
              </w:rPr>
            </w:pPr>
          </w:p>
        </w:tc>
        <w:tc>
          <w:tcPr>
            <w:tcW w:w="933" w:type="dxa"/>
            <w:vMerge w:val="continue"/>
            <w:noWrap w:val="0"/>
            <w:vAlign w:val="center"/>
          </w:tcPr>
          <w:p w14:paraId="1FF4EABF">
            <w:pPr>
              <w:spacing w:line="360" w:lineRule="auto"/>
              <w:jc w:val="center"/>
              <w:rPr>
                <w:rFonts w:ascii="宋体" w:hAnsi="宋体" w:cs="Arial"/>
                <w:color w:val="auto"/>
                <w:sz w:val="24"/>
                <w:szCs w:val="24"/>
                <w:highlight w:val="none"/>
              </w:rPr>
            </w:pPr>
          </w:p>
        </w:tc>
        <w:tc>
          <w:tcPr>
            <w:tcW w:w="924" w:type="dxa"/>
            <w:noWrap w:val="0"/>
            <w:vAlign w:val="center"/>
          </w:tcPr>
          <w:p w14:paraId="691AEF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证书</w:t>
            </w:r>
          </w:p>
          <w:p w14:paraId="2C06F9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名称</w:t>
            </w:r>
          </w:p>
        </w:tc>
        <w:tc>
          <w:tcPr>
            <w:tcW w:w="739" w:type="dxa"/>
            <w:noWrap w:val="0"/>
            <w:vAlign w:val="center"/>
          </w:tcPr>
          <w:p w14:paraId="36B7FE0F">
            <w:pPr>
              <w:spacing w:line="360" w:lineRule="auto"/>
              <w:jc w:val="center"/>
              <w:rPr>
                <w:rFonts w:hint="eastAsia" w:ascii="宋体" w:hAnsi="宋体" w:cs="Arial"/>
                <w:color w:val="auto"/>
                <w:sz w:val="24"/>
                <w:szCs w:val="24"/>
                <w:highlight w:val="none"/>
              </w:rPr>
            </w:pPr>
            <w:r>
              <w:rPr>
                <w:rFonts w:hint="eastAsia" w:ascii="宋体" w:hAnsi="宋体" w:cs="Arial"/>
                <w:color w:val="auto"/>
                <w:sz w:val="24"/>
                <w:szCs w:val="24"/>
                <w:highlight w:val="none"/>
              </w:rPr>
              <w:t>级别</w:t>
            </w:r>
          </w:p>
        </w:tc>
        <w:tc>
          <w:tcPr>
            <w:tcW w:w="841" w:type="dxa"/>
            <w:noWrap w:val="0"/>
            <w:vAlign w:val="center"/>
          </w:tcPr>
          <w:p w14:paraId="5A3B374F">
            <w:pPr>
              <w:spacing w:line="360" w:lineRule="auto"/>
              <w:jc w:val="center"/>
              <w:rPr>
                <w:rFonts w:hint="eastAsia" w:ascii="宋体" w:hAnsi="宋体" w:cs="Arial"/>
                <w:color w:val="auto"/>
                <w:sz w:val="24"/>
                <w:szCs w:val="24"/>
                <w:highlight w:val="none"/>
              </w:rPr>
            </w:pPr>
            <w:r>
              <w:rPr>
                <w:rFonts w:hint="eastAsia" w:ascii="宋体" w:hAnsi="宋体" w:cs="Arial"/>
                <w:color w:val="auto"/>
                <w:sz w:val="24"/>
                <w:szCs w:val="24"/>
                <w:highlight w:val="none"/>
              </w:rPr>
              <w:t>证号</w:t>
            </w:r>
          </w:p>
        </w:tc>
        <w:tc>
          <w:tcPr>
            <w:tcW w:w="966" w:type="dxa"/>
            <w:noWrap w:val="0"/>
            <w:vAlign w:val="center"/>
          </w:tcPr>
          <w:p w14:paraId="3AAD5D57">
            <w:pPr>
              <w:spacing w:line="360" w:lineRule="auto"/>
              <w:jc w:val="center"/>
              <w:rPr>
                <w:rFonts w:hint="eastAsia" w:ascii="宋体" w:hAnsi="宋体" w:cs="Arial"/>
                <w:color w:val="auto"/>
                <w:sz w:val="24"/>
                <w:szCs w:val="24"/>
                <w:highlight w:val="none"/>
              </w:rPr>
            </w:pPr>
            <w:r>
              <w:rPr>
                <w:rFonts w:hint="eastAsia" w:ascii="宋体" w:hAnsi="宋体" w:cs="Arial"/>
                <w:color w:val="auto"/>
                <w:sz w:val="24"/>
                <w:szCs w:val="24"/>
                <w:highlight w:val="none"/>
              </w:rPr>
              <w:t>专业</w:t>
            </w:r>
          </w:p>
        </w:tc>
      </w:tr>
      <w:tr w14:paraId="7A21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36" w:type="dxa"/>
            <w:vMerge w:val="restart"/>
            <w:noWrap w:val="0"/>
            <w:vAlign w:val="center"/>
          </w:tcPr>
          <w:p w14:paraId="39A63A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管</w:t>
            </w:r>
          </w:p>
          <w:p w14:paraId="6B7429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理</w:t>
            </w:r>
          </w:p>
          <w:p w14:paraId="5CD082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人</w:t>
            </w:r>
          </w:p>
          <w:p w14:paraId="5BD7DE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员</w:t>
            </w:r>
          </w:p>
        </w:tc>
        <w:tc>
          <w:tcPr>
            <w:tcW w:w="805" w:type="dxa"/>
            <w:noWrap w:val="0"/>
            <w:vAlign w:val="top"/>
          </w:tcPr>
          <w:p w14:paraId="7CB2F2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706C5D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7919BB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33" w:type="dxa"/>
            <w:noWrap w:val="0"/>
            <w:vAlign w:val="top"/>
          </w:tcPr>
          <w:p w14:paraId="1A6479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24" w:type="dxa"/>
            <w:noWrap w:val="0"/>
            <w:vAlign w:val="top"/>
          </w:tcPr>
          <w:p w14:paraId="17C8E0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739" w:type="dxa"/>
            <w:noWrap w:val="0"/>
            <w:vAlign w:val="top"/>
          </w:tcPr>
          <w:p w14:paraId="30B58E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41" w:type="dxa"/>
            <w:noWrap w:val="0"/>
            <w:vAlign w:val="top"/>
          </w:tcPr>
          <w:p w14:paraId="74D6DB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66" w:type="dxa"/>
            <w:noWrap w:val="0"/>
            <w:vAlign w:val="top"/>
          </w:tcPr>
          <w:p w14:paraId="6C105B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r>
      <w:tr w14:paraId="3B55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936" w:type="dxa"/>
            <w:vMerge w:val="continue"/>
            <w:noWrap w:val="0"/>
            <w:vAlign w:val="center"/>
          </w:tcPr>
          <w:p w14:paraId="2EE2FF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p>
        </w:tc>
        <w:tc>
          <w:tcPr>
            <w:tcW w:w="805" w:type="dxa"/>
            <w:noWrap w:val="0"/>
            <w:vAlign w:val="top"/>
          </w:tcPr>
          <w:p w14:paraId="7EA25E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1E6258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7123E8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33" w:type="dxa"/>
            <w:noWrap w:val="0"/>
            <w:vAlign w:val="top"/>
          </w:tcPr>
          <w:p w14:paraId="47FC3C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24" w:type="dxa"/>
            <w:noWrap w:val="0"/>
            <w:vAlign w:val="top"/>
          </w:tcPr>
          <w:p w14:paraId="0424B7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739" w:type="dxa"/>
            <w:noWrap w:val="0"/>
            <w:vAlign w:val="top"/>
          </w:tcPr>
          <w:p w14:paraId="4C8BCA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41" w:type="dxa"/>
            <w:noWrap w:val="0"/>
            <w:vAlign w:val="top"/>
          </w:tcPr>
          <w:p w14:paraId="533606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66" w:type="dxa"/>
            <w:noWrap w:val="0"/>
            <w:vAlign w:val="top"/>
          </w:tcPr>
          <w:p w14:paraId="7BC256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r>
      <w:tr w14:paraId="1235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36" w:type="dxa"/>
            <w:vMerge w:val="continue"/>
            <w:noWrap w:val="0"/>
            <w:vAlign w:val="center"/>
          </w:tcPr>
          <w:p w14:paraId="083D64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p>
        </w:tc>
        <w:tc>
          <w:tcPr>
            <w:tcW w:w="805" w:type="dxa"/>
            <w:noWrap w:val="0"/>
            <w:vAlign w:val="top"/>
          </w:tcPr>
          <w:p w14:paraId="135264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668C83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002E60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33" w:type="dxa"/>
            <w:noWrap w:val="0"/>
            <w:vAlign w:val="top"/>
          </w:tcPr>
          <w:p w14:paraId="25F9D2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24" w:type="dxa"/>
            <w:noWrap w:val="0"/>
            <w:vAlign w:val="top"/>
          </w:tcPr>
          <w:p w14:paraId="1C1094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739" w:type="dxa"/>
            <w:noWrap w:val="0"/>
            <w:vAlign w:val="top"/>
          </w:tcPr>
          <w:p w14:paraId="0F29D7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41" w:type="dxa"/>
            <w:noWrap w:val="0"/>
            <w:vAlign w:val="top"/>
          </w:tcPr>
          <w:p w14:paraId="6A4E58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66" w:type="dxa"/>
            <w:noWrap w:val="0"/>
            <w:vAlign w:val="top"/>
          </w:tcPr>
          <w:p w14:paraId="79CC90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r>
      <w:tr w14:paraId="6C55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936" w:type="dxa"/>
            <w:vMerge w:val="restart"/>
            <w:noWrap w:val="0"/>
            <w:vAlign w:val="center"/>
          </w:tcPr>
          <w:p w14:paraId="20B526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技</w:t>
            </w:r>
          </w:p>
          <w:p w14:paraId="5ECE8E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术</w:t>
            </w:r>
          </w:p>
          <w:p w14:paraId="1BF370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人</w:t>
            </w:r>
          </w:p>
          <w:p w14:paraId="35ADAE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员</w:t>
            </w:r>
          </w:p>
        </w:tc>
        <w:tc>
          <w:tcPr>
            <w:tcW w:w="805" w:type="dxa"/>
            <w:noWrap w:val="0"/>
            <w:vAlign w:val="top"/>
          </w:tcPr>
          <w:p w14:paraId="2DE955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5986DD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715398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33" w:type="dxa"/>
            <w:noWrap w:val="0"/>
            <w:vAlign w:val="top"/>
          </w:tcPr>
          <w:p w14:paraId="0F0DC8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24" w:type="dxa"/>
            <w:noWrap w:val="0"/>
            <w:vAlign w:val="top"/>
          </w:tcPr>
          <w:p w14:paraId="08EE2B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739" w:type="dxa"/>
            <w:noWrap w:val="0"/>
            <w:vAlign w:val="top"/>
          </w:tcPr>
          <w:p w14:paraId="4A0D66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41" w:type="dxa"/>
            <w:noWrap w:val="0"/>
            <w:vAlign w:val="top"/>
          </w:tcPr>
          <w:p w14:paraId="518DD9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66" w:type="dxa"/>
            <w:noWrap w:val="0"/>
            <w:vAlign w:val="top"/>
          </w:tcPr>
          <w:p w14:paraId="5E7CAA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r>
      <w:tr w14:paraId="0DE0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36" w:type="dxa"/>
            <w:vMerge w:val="continue"/>
            <w:noWrap w:val="0"/>
            <w:vAlign w:val="center"/>
          </w:tcPr>
          <w:p w14:paraId="2A3190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p>
        </w:tc>
        <w:tc>
          <w:tcPr>
            <w:tcW w:w="805" w:type="dxa"/>
            <w:noWrap w:val="0"/>
            <w:vAlign w:val="top"/>
          </w:tcPr>
          <w:p w14:paraId="7B6057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54D344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6B5ED1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33" w:type="dxa"/>
            <w:noWrap w:val="0"/>
            <w:vAlign w:val="top"/>
          </w:tcPr>
          <w:p w14:paraId="02D2D8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24" w:type="dxa"/>
            <w:noWrap w:val="0"/>
            <w:vAlign w:val="top"/>
          </w:tcPr>
          <w:p w14:paraId="2283E2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739" w:type="dxa"/>
            <w:noWrap w:val="0"/>
            <w:vAlign w:val="top"/>
          </w:tcPr>
          <w:p w14:paraId="33BB0A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41" w:type="dxa"/>
            <w:noWrap w:val="0"/>
            <w:vAlign w:val="top"/>
          </w:tcPr>
          <w:p w14:paraId="661A50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66" w:type="dxa"/>
            <w:noWrap w:val="0"/>
            <w:vAlign w:val="top"/>
          </w:tcPr>
          <w:p w14:paraId="7CD376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r>
      <w:tr w14:paraId="641B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36" w:type="dxa"/>
            <w:vMerge w:val="continue"/>
            <w:noWrap w:val="0"/>
            <w:vAlign w:val="center"/>
          </w:tcPr>
          <w:p w14:paraId="13F056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p>
        </w:tc>
        <w:tc>
          <w:tcPr>
            <w:tcW w:w="805" w:type="dxa"/>
            <w:noWrap w:val="0"/>
            <w:vAlign w:val="top"/>
          </w:tcPr>
          <w:p w14:paraId="4354ED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74CE09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364335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33" w:type="dxa"/>
            <w:noWrap w:val="0"/>
            <w:vAlign w:val="top"/>
          </w:tcPr>
          <w:p w14:paraId="6E576B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24" w:type="dxa"/>
            <w:noWrap w:val="0"/>
            <w:vAlign w:val="top"/>
          </w:tcPr>
          <w:p w14:paraId="54DFBC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739" w:type="dxa"/>
            <w:noWrap w:val="0"/>
            <w:vAlign w:val="top"/>
          </w:tcPr>
          <w:p w14:paraId="386C67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41" w:type="dxa"/>
            <w:noWrap w:val="0"/>
            <w:vAlign w:val="top"/>
          </w:tcPr>
          <w:p w14:paraId="480DDE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66" w:type="dxa"/>
            <w:noWrap w:val="0"/>
            <w:vAlign w:val="top"/>
          </w:tcPr>
          <w:p w14:paraId="768FA0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r>
      <w:tr w14:paraId="7485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36" w:type="dxa"/>
            <w:vMerge w:val="restart"/>
            <w:noWrap w:val="0"/>
            <w:vAlign w:val="center"/>
          </w:tcPr>
          <w:p w14:paraId="4E1112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售后</w:t>
            </w:r>
          </w:p>
          <w:p w14:paraId="53B0A5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服务</w:t>
            </w:r>
          </w:p>
          <w:p w14:paraId="109F63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人员</w:t>
            </w:r>
          </w:p>
        </w:tc>
        <w:tc>
          <w:tcPr>
            <w:tcW w:w="805" w:type="dxa"/>
            <w:noWrap w:val="0"/>
            <w:vAlign w:val="top"/>
          </w:tcPr>
          <w:p w14:paraId="734E6E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031777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36BB85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33" w:type="dxa"/>
            <w:noWrap w:val="0"/>
            <w:vAlign w:val="top"/>
          </w:tcPr>
          <w:p w14:paraId="3077EE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24" w:type="dxa"/>
            <w:noWrap w:val="0"/>
            <w:vAlign w:val="top"/>
          </w:tcPr>
          <w:p w14:paraId="72739B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739" w:type="dxa"/>
            <w:noWrap w:val="0"/>
            <w:vAlign w:val="top"/>
          </w:tcPr>
          <w:p w14:paraId="46C2E8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41" w:type="dxa"/>
            <w:noWrap w:val="0"/>
            <w:vAlign w:val="top"/>
          </w:tcPr>
          <w:p w14:paraId="611893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966" w:type="dxa"/>
            <w:noWrap w:val="0"/>
            <w:vAlign w:val="top"/>
          </w:tcPr>
          <w:p w14:paraId="29B61E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r>
      <w:tr w14:paraId="5EBC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936" w:type="dxa"/>
            <w:vMerge w:val="continue"/>
            <w:noWrap w:val="0"/>
            <w:vAlign w:val="top"/>
          </w:tcPr>
          <w:p w14:paraId="75FBA4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p>
        </w:tc>
        <w:tc>
          <w:tcPr>
            <w:tcW w:w="805" w:type="dxa"/>
            <w:noWrap w:val="0"/>
            <w:vAlign w:val="top"/>
          </w:tcPr>
          <w:p w14:paraId="49BF05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6DAE1B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c>
          <w:tcPr>
            <w:tcW w:w="806" w:type="dxa"/>
            <w:noWrap w:val="0"/>
            <w:vAlign w:val="top"/>
          </w:tcPr>
          <w:p w14:paraId="61F8AF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c>
          <w:tcPr>
            <w:tcW w:w="933" w:type="dxa"/>
            <w:noWrap w:val="0"/>
            <w:vAlign w:val="top"/>
          </w:tcPr>
          <w:p w14:paraId="1CD6AC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c>
          <w:tcPr>
            <w:tcW w:w="924" w:type="dxa"/>
            <w:noWrap w:val="0"/>
            <w:vAlign w:val="top"/>
          </w:tcPr>
          <w:p w14:paraId="21316D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c>
          <w:tcPr>
            <w:tcW w:w="739" w:type="dxa"/>
            <w:noWrap w:val="0"/>
            <w:vAlign w:val="top"/>
          </w:tcPr>
          <w:p w14:paraId="6AA16D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c>
          <w:tcPr>
            <w:tcW w:w="841" w:type="dxa"/>
            <w:noWrap w:val="0"/>
            <w:vAlign w:val="top"/>
          </w:tcPr>
          <w:p w14:paraId="333E44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c>
          <w:tcPr>
            <w:tcW w:w="966" w:type="dxa"/>
            <w:noWrap w:val="0"/>
            <w:vAlign w:val="top"/>
          </w:tcPr>
          <w:p w14:paraId="02F97E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r>
      <w:tr w14:paraId="310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36" w:type="dxa"/>
            <w:vMerge w:val="continue"/>
            <w:noWrap w:val="0"/>
            <w:vAlign w:val="top"/>
          </w:tcPr>
          <w:p w14:paraId="7A89CD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sz w:val="24"/>
                <w:szCs w:val="24"/>
                <w:highlight w:val="none"/>
              </w:rPr>
            </w:pPr>
          </w:p>
        </w:tc>
        <w:tc>
          <w:tcPr>
            <w:tcW w:w="805" w:type="dxa"/>
            <w:noWrap w:val="0"/>
            <w:vAlign w:val="top"/>
          </w:tcPr>
          <w:p w14:paraId="371E7B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color w:val="auto"/>
                <w:sz w:val="24"/>
                <w:szCs w:val="24"/>
                <w:highlight w:val="none"/>
              </w:rPr>
            </w:pPr>
          </w:p>
        </w:tc>
        <w:tc>
          <w:tcPr>
            <w:tcW w:w="806" w:type="dxa"/>
            <w:noWrap w:val="0"/>
            <w:vAlign w:val="top"/>
          </w:tcPr>
          <w:p w14:paraId="62DE82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c>
          <w:tcPr>
            <w:tcW w:w="806" w:type="dxa"/>
            <w:noWrap w:val="0"/>
            <w:vAlign w:val="top"/>
          </w:tcPr>
          <w:p w14:paraId="388146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c>
          <w:tcPr>
            <w:tcW w:w="933" w:type="dxa"/>
            <w:noWrap w:val="0"/>
            <w:vAlign w:val="top"/>
          </w:tcPr>
          <w:p w14:paraId="7D3F8F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c>
          <w:tcPr>
            <w:tcW w:w="924" w:type="dxa"/>
            <w:noWrap w:val="0"/>
            <w:vAlign w:val="top"/>
          </w:tcPr>
          <w:p w14:paraId="3A40FA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c>
          <w:tcPr>
            <w:tcW w:w="739" w:type="dxa"/>
            <w:noWrap w:val="0"/>
            <w:vAlign w:val="top"/>
          </w:tcPr>
          <w:p w14:paraId="6B67C8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c>
          <w:tcPr>
            <w:tcW w:w="841" w:type="dxa"/>
            <w:noWrap w:val="0"/>
            <w:vAlign w:val="top"/>
          </w:tcPr>
          <w:p w14:paraId="385F92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c>
          <w:tcPr>
            <w:tcW w:w="966" w:type="dxa"/>
            <w:noWrap w:val="0"/>
            <w:vAlign w:val="top"/>
          </w:tcPr>
          <w:p w14:paraId="14CFF0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Arial"/>
                <w:b/>
                <w:bCs/>
                <w:color w:val="auto"/>
                <w:sz w:val="24"/>
                <w:szCs w:val="24"/>
                <w:highlight w:val="none"/>
              </w:rPr>
            </w:pPr>
          </w:p>
        </w:tc>
      </w:tr>
    </w:tbl>
    <w:p w14:paraId="36C7C455">
      <w:pPr>
        <w:spacing w:line="360" w:lineRule="auto"/>
        <w:rPr>
          <w:rFonts w:hint="eastAsia" w:ascii="宋体" w:hAnsi="宋体" w:cs="Arial"/>
          <w:bCs/>
          <w:color w:val="auto"/>
          <w:sz w:val="24"/>
          <w:szCs w:val="24"/>
          <w:highlight w:val="none"/>
        </w:rPr>
      </w:pPr>
    </w:p>
    <w:p w14:paraId="569C840E">
      <w:pPr>
        <w:spacing w:line="360" w:lineRule="auto"/>
        <w:rPr>
          <w:rFonts w:hint="eastAsia" w:ascii="宋体" w:hAnsi="宋体" w:cs="Arial"/>
          <w:bCs/>
          <w:color w:val="auto"/>
          <w:sz w:val="24"/>
          <w:szCs w:val="24"/>
          <w:highlight w:val="none"/>
        </w:rPr>
      </w:pPr>
    </w:p>
    <w:p w14:paraId="1A22500A">
      <w:pPr>
        <w:spacing w:line="360" w:lineRule="auto"/>
        <w:rPr>
          <w:rFonts w:hint="eastAsia" w:ascii="宋体" w:hAnsi="宋体" w:cs="Arial"/>
          <w:bCs/>
          <w:color w:val="auto"/>
          <w:sz w:val="24"/>
          <w:szCs w:val="24"/>
          <w:highlight w:val="none"/>
        </w:rPr>
      </w:pPr>
    </w:p>
    <w:p w14:paraId="18C8006C">
      <w:pPr>
        <w:spacing w:line="360" w:lineRule="auto"/>
        <w:rPr>
          <w:rFonts w:hint="eastAsia" w:ascii="宋体" w:hAnsi="宋体" w:cs="Arial"/>
          <w:bCs/>
          <w:color w:val="auto"/>
          <w:sz w:val="24"/>
          <w:szCs w:val="24"/>
          <w:highlight w:val="none"/>
        </w:rPr>
      </w:pPr>
    </w:p>
    <w:p w14:paraId="379F2A0D">
      <w:pPr>
        <w:spacing w:line="360" w:lineRule="auto"/>
        <w:rPr>
          <w:rFonts w:hint="eastAsia" w:ascii="宋体" w:hAnsi="宋体" w:cs="Arial"/>
          <w:bCs/>
          <w:color w:val="auto"/>
          <w:sz w:val="24"/>
          <w:szCs w:val="24"/>
          <w:highlight w:val="none"/>
        </w:rPr>
      </w:pPr>
    </w:p>
    <w:p w14:paraId="1C66604F">
      <w:pPr>
        <w:spacing w:line="360" w:lineRule="auto"/>
        <w:rPr>
          <w:rFonts w:hint="eastAsia" w:ascii="宋体" w:hAnsi="宋体" w:cs="Arial"/>
          <w:bCs/>
          <w:color w:val="auto"/>
          <w:sz w:val="24"/>
          <w:szCs w:val="24"/>
          <w:highlight w:val="none"/>
        </w:rPr>
      </w:pPr>
    </w:p>
    <w:p w14:paraId="64EFA05E">
      <w:pPr>
        <w:spacing w:line="360" w:lineRule="auto"/>
        <w:rPr>
          <w:rFonts w:hint="eastAsia" w:ascii="宋体" w:hAnsi="宋体" w:cs="Arial"/>
          <w:bCs/>
          <w:color w:val="auto"/>
          <w:sz w:val="24"/>
          <w:szCs w:val="24"/>
          <w:highlight w:val="none"/>
        </w:rPr>
      </w:pPr>
    </w:p>
    <w:p w14:paraId="2DE65B80">
      <w:pPr>
        <w:spacing w:line="360" w:lineRule="auto"/>
        <w:rPr>
          <w:rFonts w:hint="eastAsia" w:ascii="宋体" w:hAnsi="宋体" w:cs="Arial"/>
          <w:bCs/>
          <w:color w:val="auto"/>
          <w:sz w:val="24"/>
          <w:szCs w:val="24"/>
          <w:highlight w:val="none"/>
        </w:rPr>
      </w:pPr>
    </w:p>
    <w:p w14:paraId="60A28D26">
      <w:pPr>
        <w:spacing w:line="360" w:lineRule="auto"/>
        <w:rPr>
          <w:rFonts w:hint="eastAsia" w:ascii="宋体" w:hAnsi="宋体" w:cs="Arial"/>
          <w:bCs/>
          <w:color w:val="auto"/>
          <w:sz w:val="24"/>
          <w:szCs w:val="24"/>
          <w:highlight w:val="none"/>
        </w:rPr>
      </w:pPr>
    </w:p>
    <w:p w14:paraId="7E5DB811">
      <w:pPr>
        <w:pStyle w:val="25"/>
        <w:tabs>
          <w:tab w:val="left" w:pos="12780"/>
        </w:tabs>
        <w:spacing w:line="360" w:lineRule="auto"/>
        <w:rPr>
          <w:rFonts w:ascii="宋体" w:hAnsi="宋体"/>
          <w:color w:val="auto"/>
          <w:sz w:val="24"/>
          <w:szCs w:val="24"/>
          <w:highlight w:val="none"/>
        </w:rPr>
      </w:pPr>
    </w:p>
    <w:p w14:paraId="0F1DDBD8">
      <w:pPr>
        <w:pStyle w:val="25"/>
        <w:tabs>
          <w:tab w:val="left" w:pos="12780"/>
        </w:tabs>
        <w:spacing w:line="360" w:lineRule="auto"/>
        <w:rPr>
          <w:rFonts w:ascii="宋体" w:hAnsi="宋体"/>
          <w:color w:val="auto"/>
          <w:sz w:val="24"/>
          <w:szCs w:val="24"/>
          <w:highlight w:val="none"/>
        </w:rPr>
      </w:pPr>
    </w:p>
    <w:p w14:paraId="26EF106C">
      <w:pPr>
        <w:pStyle w:val="25"/>
        <w:tabs>
          <w:tab w:val="left" w:pos="12780"/>
        </w:tabs>
        <w:spacing w:line="360" w:lineRule="auto"/>
        <w:rPr>
          <w:rFonts w:ascii="宋体" w:hAnsi="宋体"/>
          <w:color w:val="auto"/>
          <w:sz w:val="24"/>
          <w:szCs w:val="24"/>
          <w:highlight w:val="none"/>
        </w:rPr>
      </w:pPr>
    </w:p>
    <w:p w14:paraId="26929660">
      <w:pPr>
        <w:pStyle w:val="25"/>
        <w:tabs>
          <w:tab w:val="left" w:pos="12780"/>
        </w:tabs>
        <w:spacing w:line="360" w:lineRule="auto"/>
        <w:rPr>
          <w:rFonts w:ascii="宋体" w:hAnsi="宋体"/>
          <w:color w:val="auto"/>
          <w:sz w:val="24"/>
          <w:szCs w:val="24"/>
          <w:highlight w:val="none"/>
        </w:rPr>
      </w:pPr>
    </w:p>
    <w:p w14:paraId="04ACB961">
      <w:pPr>
        <w:pStyle w:val="25"/>
        <w:tabs>
          <w:tab w:val="left" w:pos="12780"/>
        </w:tabs>
        <w:spacing w:line="360" w:lineRule="auto"/>
        <w:rPr>
          <w:rFonts w:ascii="宋体" w:hAnsi="宋体"/>
          <w:color w:val="auto"/>
          <w:sz w:val="24"/>
          <w:szCs w:val="24"/>
          <w:highlight w:val="none"/>
        </w:rPr>
      </w:pPr>
    </w:p>
    <w:p w14:paraId="3580AF3E">
      <w:pPr>
        <w:pStyle w:val="25"/>
        <w:tabs>
          <w:tab w:val="left" w:pos="12780"/>
        </w:tabs>
        <w:spacing w:line="360" w:lineRule="auto"/>
        <w:rPr>
          <w:rFonts w:ascii="宋体" w:hAnsi="宋体"/>
          <w:color w:val="auto"/>
          <w:sz w:val="24"/>
          <w:szCs w:val="24"/>
          <w:highlight w:val="none"/>
        </w:rPr>
      </w:pPr>
    </w:p>
    <w:p w14:paraId="73593A6B">
      <w:pPr>
        <w:pStyle w:val="25"/>
        <w:tabs>
          <w:tab w:val="left" w:pos="12780"/>
        </w:tabs>
        <w:spacing w:line="360" w:lineRule="auto"/>
        <w:rPr>
          <w:rFonts w:hint="eastAsia" w:ascii="宋体" w:hAnsi="宋体"/>
          <w:color w:val="auto"/>
          <w:sz w:val="24"/>
          <w:szCs w:val="24"/>
          <w:highlight w:val="none"/>
        </w:rPr>
      </w:pPr>
      <w:r>
        <w:rPr>
          <w:rFonts w:ascii="宋体" w:hAnsi="宋体"/>
          <w:color w:val="auto"/>
          <w:sz w:val="24"/>
          <w:szCs w:val="24"/>
          <w:highlight w:val="none"/>
        </w:rPr>
        <w:t>投标人（</w:t>
      </w:r>
      <w:r>
        <w:rPr>
          <w:rFonts w:hint="eastAsia" w:hAnsi="宋体"/>
          <w:color w:val="auto"/>
          <w:sz w:val="24"/>
          <w:szCs w:val="24"/>
          <w:highlight w:val="none"/>
          <w:lang w:eastAsia="zh-CN"/>
        </w:rPr>
        <w:t>公</w:t>
      </w:r>
      <w:r>
        <w:rPr>
          <w:rFonts w:ascii="宋体" w:hAnsi="宋体"/>
          <w:color w:val="auto"/>
          <w:sz w:val="24"/>
          <w:szCs w:val="24"/>
          <w:highlight w:val="none"/>
        </w:rPr>
        <w:t>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FA82B8E">
      <w:pPr>
        <w:pStyle w:val="25"/>
        <w:tabs>
          <w:tab w:val="left" w:pos="12780"/>
        </w:tabs>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法定代表人或</w:t>
      </w:r>
      <w:r>
        <w:rPr>
          <w:rFonts w:hint="default" w:hAnsi="宋体"/>
          <w:color w:val="auto"/>
          <w:sz w:val="24"/>
          <w:szCs w:val="24"/>
          <w:highlight w:val="none"/>
          <w:lang w:val="en" w:eastAsia="zh-CN"/>
        </w:rPr>
        <w:t>授权代表</w:t>
      </w:r>
      <w:r>
        <w:rPr>
          <w:rFonts w:hint="eastAsia" w:ascii="宋体" w:hAnsi="宋体"/>
          <w:color w:val="auto"/>
          <w:sz w:val="24"/>
          <w:szCs w:val="24"/>
          <w:highlight w:val="none"/>
        </w:rPr>
        <w:t>（签字</w:t>
      </w:r>
      <w:r>
        <w:rPr>
          <w:rFonts w:hint="eastAsia" w:hAnsi="宋体"/>
          <w:color w:val="auto"/>
          <w:sz w:val="24"/>
          <w:szCs w:val="24"/>
          <w:highlight w:val="none"/>
          <w:lang w:eastAsia="zh-CN"/>
        </w:rPr>
        <w:t>或盖章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09B71047">
      <w:pPr>
        <w:pStyle w:val="25"/>
        <w:tabs>
          <w:tab w:val="left" w:pos="12780"/>
        </w:tabs>
        <w:spacing w:line="360" w:lineRule="auto"/>
        <w:rPr>
          <w:rFonts w:ascii="宋体" w:hAnsi="宋体"/>
          <w:color w:val="auto"/>
          <w:sz w:val="24"/>
          <w:szCs w:val="24"/>
          <w:highlight w:val="none"/>
        </w:rPr>
      </w:pPr>
      <w:r>
        <w:rPr>
          <w:rFonts w:ascii="宋体" w:hAnsi="宋体"/>
          <w:color w:val="auto"/>
          <w:sz w:val="24"/>
          <w:szCs w:val="24"/>
          <w:highlight w:val="none"/>
        </w:rPr>
        <w:t>日</w:t>
      </w:r>
      <w:r>
        <w:rPr>
          <w:rFonts w:hint="eastAsia" w:ascii="宋体" w:hAnsi="宋体"/>
          <w:color w:val="auto"/>
          <w:sz w:val="24"/>
          <w:szCs w:val="24"/>
          <w:highlight w:val="none"/>
        </w:rPr>
        <w:t xml:space="preserve">   </w:t>
      </w:r>
      <w:r>
        <w:rPr>
          <w:rFonts w:ascii="宋体" w:hAnsi="宋体"/>
          <w:color w:val="auto"/>
          <w:sz w:val="24"/>
          <w:szCs w:val="24"/>
          <w:highlight w:val="none"/>
        </w:rPr>
        <w:t>期：</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p>
    <w:p w14:paraId="5399AA0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p>
    <w:p w14:paraId="68035E62">
      <w:pPr>
        <w:spacing w:line="560" w:lineRule="exact"/>
        <w:jc w:val="left"/>
        <w:rPr>
          <w:color w:val="auto"/>
          <w:sz w:val="24"/>
          <w:highlight w:val="none"/>
        </w:rPr>
      </w:pPr>
    </w:p>
    <w:p w14:paraId="1FD6A26A">
      <w:pPr>
        <w:spacing w:line="360" w:lineRule="auto"/>
        <w:ind w:firstLine="4080" w:firstLineChars="1700"/>
        <w:rPr>
          <w:color w:val="auto"/>
          <w:sz w:val="24"/>
          <w:highlight w:val="none"/>
        </w:rPr>
      </w:pPr>
      <w:r>
        <w:rPr>
          <w:rFonts w:hint="eastAsia"/>
          <w:color w:val="auto"/>
          <w:sz w:val="24"/>
          <w:highlight w:val="none"/>
        </w:rPr>
        <w:t xml:space="preserve">  </w:t>
      </w:r>
    </w:p>
    <w:bookmarkEnd w:id="107"/>
    <w:bookmarkEnd w:id="108"/>
    <w:bookmarkEnd w:id="109"/>
    <w:p w14:paraId="7C0909C6">
      <w:pPr>
        <w:ind w:left="1844" w:firstLine="420" w:firstLineChars="200"/>
        <w:rPr>
          <w:rFonts w:ascii="宋体"/>
          <w:highlight w:val="yellow"/>
        </w:rPr>
      </w:pPr>
    </w:p>
    <w:p w14:paraId="65D76CF0">
      <w:pPr>
        <w:ind w:left="1844" w:firstLine="420" w:firstLineChars="200"/>
        <w:rPr>
          <w:rFonts w:ascii="宋体"/>
          <w:highlight w:val="yellow"/>
        </w:rPr>
      </w:pPr>
    </w:p>
    <w:p w14:paraId="552CA22B">
      <w:pPr>
        <w:spacing w:line="560" w:lineRule="exact"/>
        <w:ind w:firstLine="480" w:firstLineChars="200"/>
        <w:rPr>
          <w:rFonts w:ascii="宋体"/>
          <w:color w:val="000000"/>
          <w:sz w:val="24"/>
          <w:szCs w:val="24"/>
        </w:rPr>
      </w:pPr>
    </w:p>
    <w:p w14:paraId="103D520F">
      <w:pPr>
        <w:pStyle w:val="5"/>
        <w:pageBreakBefore/>
        <w:adjustRightInd/>
        <w:spacing w:before="0" w:after="0" w:line="360" w:lineRule="auto"/>
        <w:jc w:val="center"/>
        <w:textAlignment w:val="auto"/>
        <w:rPr>
          <w:rFonts w:ascii="方正小标宋简体" w:eastAsia="方正小标宋简体"/>
          <w:b/>
          <w:bCs/>
          <w:sz w:val="44"/>
          <w:szCs w:val="44"/>
        </w:rPr>
      </w:pPr>
      <w:bookmarkStart w:id="110" w:name="_Toc25345"/>
      <w:bookmarkStart w:id="111" w:name="_Toc2153"/>
      <w:r>
        <w:rPr>
          <w:rFonts w:hint="eastAsia" w:ascii="宋体" w:hAnsi="宋体" w:cs="宋体"/>
          <w:b/>
          <w:bCs/>
          <w:kern w:val="2"/>
          <w:sz w:val="28"/>
          <w:szCs w:val="28"/>
        </w:rPr>
        <w:t>十</w:t>
      </w:r>
      <w:r>
        <w:rPr>
          <w:rFonts w:hint="eastAsia" w:ascii="宋体" w:hAnsi="宋体" w:cs="宋体"/>
          <w:b/>
          <w:bCs/>
          <w:kern w:val="2"/>
          <w:sz w:val="28"/>
          <w:szCs w:val="28"/>
          <w:lang w:val="en-US" w:eastAsia="zh-CN"/>
        </w:rPr>
        <w:t>一</w:t>
      </w:r>
      <w:r>
        <w:rPr>
          <w:rFonts w:hint="eastAsia" w:ascii="宋体" w:hAnsi="宋体" w:cs="宋体"/>
          <w:b/>
          <w:bCs/>
          <w:kern w:val="2"/>
          <w:sz w:val="28"/>
          <w:szCs w:val="28"/>
        </w:rPr>
        <w:t>、落实政府采购支持中小企业政策</w:t>
      </w:r>
      <w:bookmarkEnd w:id="110"/>
      <w:bookmarkEnd w:id="111"/>
      <w:r>
        <w:rPr>
          <w:rFonts w:ascii="宋体" w:cs="宋体"/>
          <w:b/>
          <w:bCs/>
          <w:kern w:val="2"/>
          <w:sz w:val="28"/>
          <w:szCs w:val="28"/>
        </w:rPr>
        <w:t>-</w:t>
      </w:r>
      <w:r>
        <w:rPr>
          <w:rFonts w:hint="eastAsia" w:ascii="宋体" w:hAnsi="宋体" w:cs="宋体"/>
          <w:b/>
          <w:bCs/>
          <w:kern w:val="2"/>
          <w:sz w:val="28"/>
          <w:szCs w:val="28"/>
        </w:rPr>
        <w:t>“政采贷”助力中小企业便捷融资</w:t>
      </w:r>
    </w:p>
    <w:p w14:paraId="23E34CDE">
      <w:pPr>
        <w:spacing w:line="560" w:lineRule="exact"/>
        <w:jc w:val="center"/>
        <w:rPr>
          <w:rFonts w:hint="eastAsia" w:ascii="方正小标宋简体" w:eastAsia="方正小标宋简体" w:cs="方正小标宋简体"/>
          <w:sz w:val="36"/>
          <w:szCs w:val="36"/>
        </w:rPr>
      </w:pPr>
    </w:p>
    <w:p w14:paraId="342BDB0D">
      <w:pPr>
        <w:spacing w:line="560" w:lineRule="exact"/>
        <w:jc w:val="center"/>
        <w:rPr>
          <w:rFonts w:hint="eastAsia" w:ascii="方正小标宋简体" w:eastAsia="方正小标宋简体" w:cs="方正小标宋简体"/>
          <w:sz w:val="36"/>
          <w:szCs w:val="36"/>
        </w:rPr>
      </w:pPr>
      <w:r>
        <w:rPr>
          <w:rFonts w:hint="eastAsia" w:ascii="方正小标宋简体" w:eastAsia="方正小标宋简体" w:cs="方正小标宋简体"/>
          <w:sz w:val="36"/>
          <w:szCs w:val="36"/>
        </w:rPr>
        <w:t>陇南市财政局关于进一步推进“政采贷”</w:t>
      </w:r>
    </w:p>
    <w:p w14:paraId="1F6A105C">
      <w:pPr>
        <w:spacing w:line="560" w:lineRule="exact"/>
        <w:jc w:val="center"/>
        <w:rPr>
          <w:rFonts w:ascii="方正小标宋简体" w:eastAsia="方正小标宋简体"/>
          <w:sz w:val="36"/>
          <w:szCs w:val="36"/>
        </w:rPr>
      </w:pPr>
      <w:r>
        <w:rPr>
          <w:rFonts w:hint="eastAsia" w:ascii="方正小标宋简体" w:eastAsia="方正小标宋简体" w:cs="方正小标宋简体"/>
          <w:sz w:val="36"/>
          <w:szCs w:val="36"/>
        </w:rPr>
        <w:t>工作的通知</w:t>
      </w:r>
    </w:p>
    <w:p w14:paraId="33A40EB1">
      <w:pPr>
        <w:pStyle w:val="25"/>
      </w:pPr>
    </w:p>
    <w:p w14:paraId="1D3E2CD2">
      <w:pPr>
        <w:spacing w:line="560" w:lineRule="exact"/>
        <w:rPr>
          <w:rFonts w:ascii="仿宋_GB2312" w:hAnsi="仿宋_GB2312" w:eastAsia="仿宋_GB2312"/>
          <w:sz w:val="28"/>
          <w:szCs w:val="28"/>
        </w:rPr>
      </w:pPr>
      <w:r>
        <w:rPr>
          <w:rFonts w:hint="eastAsia" w:ascii="仿宋_GB2312" w:hAnsi="仿宋_GB2312" w:eastAsia="仿宋_GB2312" w:cs="仿宋_GB2312"/>
          <w:sz w:val="28"/>
          <w:szCs w:val="28"/>
        </w:rPr>
        <w:t>各县（区）财政局，各市直单位，各金融机构，各供应商：</w:t>
      </w:r>
    </w:p>
    <w:p w14:paraId="43147FBA">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根据《甘肃省财政厅关于开展甘肃省政府采购合同融资业务有关事宜的通知》（甘财办</w:t>
      </w:r>
      <w:r>
        <w:rPr>
          <w:rFonts w:hint="eastAsia" w:ascii="仿宋" w:hAnsi="仿宋" w:eastAsia="仿宋" w:cs="仿宋"/>
          <w:sz w:val="28"/>
          <w:szCs w:val="28"/>
        </w:rPr>
        <w:t>〔</w:t>
      </w:r>
      <w:r>
        <w:rPr>
          <w:rFonts w:ascii="仿宋" w:hAnsi="仿宋" w:eastAsia="仿宋" w:cs="仿宋"/>
          <w:sz w:val="28"/>
          <w:szCs w:val="28"/>
        </w:rPr>
        <w:t>2019</w:t>
      </w:r>
      <w:r>
        <w:rPr>
          <w:rFonts w:hint="eastAsia" w:ascii="仿宋" w:hAnsi="仿宋" w:eastAsia="仿宋" w:cs="仿宋"/>
          <w:sz w:val="28"/>
          <w:szCs w:val="28"/>
        </w:rPr>
        <w:t>〕</w:t>
      </w:r>
      <w:r>
        <w:rPr>
          <w:rFonts w:ascii="仿宋" w:hAnsi="仿宋" w:eastAsia="仿宋" w:cs="仿宋"/>
          <w:sz w:val="28"/>
          <w:szCs w:val="28"/>
        </w:rPr>
        <w:t>16</w:t>
      </w:r>
      <w:r>
        <w:rPr>
          <w:rFonts w:hint="eastAsia" w:ascii="仿宋" w:hAnsi="仿宋" w:eastAsia="仿宋" w:cs="仿宋"/>
          <w:sz w:val="28"/>
          <w:szCs w:val="28"/>
        </w:rPr>
        <w:t>号</w:t>
      </w:r>
      <w:r>
        <w:rPr>
          <w:rFonts w:hint="eastAsia" w:ascii="仿宋_GB2312" w:hAnsi="仿宋_GB2312" w:eastAsia="仿宋_GB2312" w:cs="仿宋_GB2312"/>
          <w:sz w:val="28"/>
          <w:szCs w:val="28"/>
        </w:rPr>
        <w:t>）《关于进一步加大政府采购支持中小微企业的通知》（甘财采</w:t>
      </w:r>
      <w:r>
        <w:rPr>
          <w:rFonts w:hint="eastAsia" w:ascii="仿宋" w:hAnsi="仿宋" w:eastAsia="仿宋" w:cs="仿宋"/>
          <w:sz w:val="28"/>
          <w:szCs w:val="28"/>
        </w:rPr>
        <w:t>〔</w:t>
      </w:r>
      <w:r>
        <w:rPr>
          <w:rFonts w:ascii="仿宋" w:hAnsi="仿宋" w:eastAsia="仿宋" w:cs="仿宋"/>
          <w:sz w:val="28"/>
          <w:szCs w:val="28"/>
        </w:rPr>
        <w:t>2022</w:t>
      </w:r>
      <w:r>
        <w:rPr>
          <w:rFonts w:hint="eastAsia" w:ascii="仿宋" w:hAnsi="仿宋" w:eastAsia="仿宋" w:cs="仿宋"/>
          <w:sz w:val="28"/>
          <w:szCs w:val="28"/>
        </w:rPr>
        <w:t>〕</w:t>
      </w:r>
      <w:r>
        <w:rPr>
          <w:rFonts w:ascii="仿宋" w:hAnsi="仿宋" w:eastAsia="仿宋" w:cs="仿宋"/>
          <w:sz w:val="28"/>
          <w:szCs w:val="28"/>
        </w:rPr>
        <w:t>16</w:t>
      </w:r>
      <w:r>
        <w:rPr>
          <w:rFonts w:hint="eastAsia" w:ascii="仿宋" w:hAnsi="仿宋" w:eastAsia="仿宋" w:cs="仿宋"/>
          <w:sz w:val="28"/>
          <w:szCs w:val="28"/>
        </w:rPr>
        <w:t>号</w:t>
      </w:r>
      <w:r>
        <w:rPr>
          <w:rFonts w:hint="eastAsia" w:ascii="仿宋_GB2312" w:hAnsi="仿宋_GB2312" w:eastAsia="仿宋_GB2312" w:cs="仿宋_GB2312"/>
          <w:sz w:val="28"/>
          <w:szCs w:val="28"/>
        </w:rPr>
        <w:t>）要求，为全面推进“政采贷”业务扩面提质增效</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有效缓解中小微企业融资难、融资贵问题，现就做好我市“政采贷”工作有关事项通知如下：</w:t>
      </w:r>
    </w:p>
    <w:p w14:paraId="0096A386">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一、提高思想认识</w:t>
      </w:r>
    </w:p>
    <w:p w14:paraId="261C07BE">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政采贷合同融资工作，是深入贯彻落实省市“优化营商环境攻坚突破年”行动、促进中小企业发展的具体措施，也是金融机构落实普惠金融政策、支持实体经济发展的实施途径，更是中小微企业破解融资难题、增强市场主体活力的重要方法。各县（区）财政局、市直各单位和金融机构要从讲政治的高度充分认识政府采购合同融资工作的重要性，进一步增强作好“政采贷”工作的责任感和自觉性，充分发挥职能作用，不断完善政策措施，加强政策宣传引导，推动以“财政搭台、企银双赢”为主要内容的“政采贷”工作不断走深走实。</w:t>
      </w:r>
    </w:p>
    <w:p w14:paraId="126820F2">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二、强化“政采贷”流程管理</w:t>
      </w:r>
    </w:p>
    <w:p w14:paraId="5390E274">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（一）政府采购中标的供应商存在融资需求，进入“陇南政府采购网”（</w:t>
      </w:r>
      <w:r>
        <w:rPr>
          <w:rFonts w:ascii="仿宋_GB2312" w:hAnsi="仿宋_GB2312" w:eastAsia="仿宋_GB2312" w:cs="仿宋_GB2312"/>
          <w:sz w:val="28"/>
          <w:szCs w:val="28"/>
        </w:rPr>
        <w:t>https://www.ccgp-gansu.gov.cn/indexln.html</w:t>
      </w:r>
      <w:r>
        <w:rPr>
          <w:rFonts w:hint="eastAsia" w:ascii="仿宋_GB2312" w:hAnsi="仿宋_GB2312" w:eastAsia="仿宋_GB2312" w:cs="仿宋_GB2312"/>
          <w:sz w:val="28"/>
          <w:szCs w:val="28"/>
        </w:rPr>
        <w:t>），在“政府采购合同融资服务平台”注册登录，中标公告发布后，选择</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家银行进行合同融资预申请。</w:t>
      </w:r>
    </w:p>
    <w:p w14:paraId="00A90E51">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（二）银行对申请贷款的供应商进行信用审查、开设账户等相关工作，在</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个工作日反馈结果。</w:t>
      </w:r>
    </w:p>
    <w:p w14:paraId="5F1D95C0">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三）供应商根据银行的反馈结果，与采购单位签订政府采购合同，并提交正式融资申请。政府采购合同中资金支付账号应与贷款银行的开户账号保持一致，并作为此次采购唯一收款账号。在未取得采购单位和贷款银行同意前，供应商不得擅自更改收款账号。</w:t>
      </w:r>
    </w:p>
    <w:p w14:paraId="04D0758E">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（四）银行审查供应商资格及政府采购合同等信息，审查通过后及时发放贷款。为保障贷款资金的安全回收，采购单位将资金支付到政府采购合同确定的收款唯一账户中，不得支付到其他账户。</w:t>
      </w:r>
    </w:p>
    <w:p w14:paraId="7EA09837">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三、相关要求</w:t>
      </w:r>
    </w:p>
    <w:p w14:paraId="173E0E17">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（一）金融机构提交相关备案资料，进驻“陇南市政府采购合同融资服务平台”，上传“政采贷”融资产品，并及时将“政采贷”合同贷款情况反馈，优化贷款审批流程，简化审批手续，并做好风险防控工作。</w:t>
      </w:r>
    </w:p>
    <w:p w14:paraId="4AE4EE47">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二）采购单位积极配合供应商开展“政采贷”业务，在招标文件中载明“合同融资”方面内容，及时发放中标通知书进行合同备案。供应商履约完成后，采购单位及时开展履约验收和资金支付工作，不得无故拖延支付采购资金，不得变更资金支付账户，确需变更的，需与金融机构、供应商协商一致。</w:t>
      </w:r>
    </w:p>
    <w:p w14:paraId="31C3740D">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三）供应商依法参加政府采购活动，充分利用“陇南市政府采购合同融资服务平台”了解金融机构融资产品信息，积极争取各金融机构支持，自愿使用“政采贷”融资业务，按照政府采购合同履约，配合金融机构对唯一收款账户进行确认和锁定，并按照融资协议偿还债务。</w:t>
      </w:r>
    </w:p>
    <w:p w14:paraId="7BABACCB">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四）各级政府采购监管部门要充分发挥政策实施的牵头协调作用，积极组织开展政银企对接，推动政银企之间建立互信、互利、互助的良好关系。市上已搭建合同融资平台，各县（区）要积极完善平台内各类信息，督促采购单位及时签订并依法公开政府采购合同信息，在合同履约验收后，及时支付资金。</w:t>
      </w:r>
    </w:p>
    <w:p w14:paraId="555C4E6B">
      <w:pPr>
        <w:spacing w:line="560" w:lineRule="exact"/>
        <w:ind w:firstLine="4760" w:firstLineChars="1700"/>
        <w:rPr>
          <w:rFonts w:ascii="仿宋_GB2312" w:hAnsi="仿宋_GB2312" w:eastAsia="仿宋_GB2312"/>
          <w:sz w:val="28"/>
          <w:szCs w:val="28"/>
        </w:rPr>
      </w:pPr>
    </w:p>
    <w:p w14:paraId="2F5B95D3">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附件：</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“政采贷”操作流程</w:t>
      </w:r>
    </w:p>
    <w:p w14:paraId="27C9303E">
      <w:pPr>
        <w:spacing w:line="560" w:lineRule="exact"/>
        <w:ind w:firstLine="1400" w:firstLineChars="500"/>
        <w:rPr>
          <w:rFonts w:ascii="仿宋_GB2312" w:hAnsi="仿宋_GB2312" w:eastAsia="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承接银行联系方式</w:t>
      </w:r>
    </w:p>
    <w:p w14:paraId="085FAFE9">
      <w:pPr>
        <w:spacing w:line="560" w:lineRule="exact"/>
        <w:ind w:firstLine="1400" w:firstLineChars="500"/>
        <w:rPr>
          <w:rFonts w:ascii="仿宋_GB2312" w:hAnsi="仿宋_GB2312" w:eastAsia="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陇南市政府采购合同融资服务平台操作指南</w:t>
      </w:r>
    </w:p>
    <w:p w14:paraId="683A0A92">
      <w:pPr>
        <w:rPr>
          <w:sz w:val="20"/>
          <w:szCs w:val="20"/>
        </w:rPr>
      </w:pPr>
    </w:p>
    <w:p w14:paraId="3A99515A">
      <w:pPr>
        <w:pStyle w:val="25"/>
        <w:rPr>
          <w:sz w:val="24"/>
          <w:szCs w:val="24"/>
        </w:rPr>
      </w:pPr>
    </w:p>
    <w:p w14:paraId="245E9205">
      <w:pPr>
        <w:pStyle w:val="39"/>
        <w:rPr>
          <w:rFonts w:cs="Times New Roman"/>
          <w:sz w:val="22"/>
          <w:szCs w:val="22"/>
        </w:rPr>
      </w:pPr>
    </w:p>
    <w:p w14:paraId="7AEF23EF">
      <w:pPr>
        <w:rPr>
          <w:sz w:val="20"/>
          <w:szCs w:val="20"/>
        </w:rPr>
      </w:pPr>
    </w:p>
    <w:p w14:paraId="4B9587D5">
      <w:pPr>
        <w:spacing w:line="560" w:lineRule="exact"/>
        <w:ind w:firstLine="4760" w:firstLineChars="1700"/>
        <w:rPr>
          <w:rFonts w:eastAsia="仿宋_GB2312"/>
          <w:sz w:val="20"/>
          <w:szCs w:val="20"/>
        </w:rPr>
      </w:pPr>
      <w:r>
        <w:rPr>
          <w:rFonts w:hint="eastAsia" w:ascii="仿宋_GB2312" w:hAnsi="仿宋_GB2312" w:eastAsia="仿宋_GB2312" w:cs="仿宋_GB2312"/>
          <w:sz w:val="28"/>
          <w:szCs w:val="28"/>
        </w:rPr>
        <w:t>陇南市财政局</w:t>
      </w:r>
      <w:r>
        <w:rPr>
          <w:rFonts w:ascii="仿宋_GB2312" w:hAnsi="仿宋_GB2312" w:eastAsia="仿宋_GB2312" w:cs="仿宋_GB2312"/>
          <w:sz w:val="28"/>
          <w:szCs w:val="28"/>
        </w:rPr>
        <w:t xml:space="preserve">      </w:t>
      </w:r>
    </w:p>
    <w:p w14:paraId="74753767">
      <w:pPr>
        <w:spacing w:line="560" w:lineRule="exact"/>
        <w:ind w:firstLine="4480" w:firstLineChars="1600"/>
        <w:rPr>
          <w:rFonts w:ascii="仿宋_GB2312" w:hAnsi="仿宋_GB2312" w:eastAsia="仿宋_GB2312"/>
          <w:sz w:val="28"/>
          <w:szCs w:val="28"/>
        </w:rPr>
      </w:pPr>
      <w:r>
        <w:rPr>
          <w:rFonts w:ascii="仿宋_GB2312" w:hAnsi="仿宋_GB2312" w:eastAsia="仿宋_GB2312" w:cs="仿宋_GB2312"/>
          <w:sz w:val="28"/>
          <w:szCs w:val="28"/>
        </w:rPr>
        <w:t>2023</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日</w:t>
      </w:r>
    </w:p>
    <w:p w14:paraId="0207DB81">
      <w:pPr>
        <w:pStyle w:val="25"/>
        <w:rPr>
          <w:rFonts w:ascii="仿宋_GB2312" w:hAnsi="仿宋_GB2312" w:eastAsia="仿宋_GB2312"/>
          <w:sz w:val="32"/>
          <w:szCs w:val="32"/>
        </w:rPr>
      </w:pPr>
    </w:p>
    <w:p w14:paraId="41F6D43E">
      <w:pPr>
        <w:pStyle w:val="4"/>
      </w:pPr>
    </w:p>
    <w:p w14:paraId="3D274491">
      <w:pPr>
        <w:pageBreakBefore/>
        <w:spacing w:line="560" w:lineRule="exact"/>
        <w:jc w:val="left"/>
        <w:rPr>
          <w:rFonts w:ascii="黑体" w:hAnsi="黑体" w:eastAsia="黑体"/>
          <w:sz w:val="28"/>
          <w:szCs w:val="28"/>
        </w:rPr>
      </w:pPr>
      <w:r>
        <w:rPr>
          <w:rFonts w:hint="eastAsia" w:ascii="黑体" w:hAnsi="黑体" w:eastAsia="黑体" w:cs="黑体"/>
          <w:sz w:val="28"/>
          <w:szCs w:val="28"/>
        </w:rPr>
        <w:t>附件</w:t>
      </w:r>
      <w:r>
        <w:rPr>
          <w:rFonts w:ascii="黑体" w:hAnsi="黑体" w:eastAsia="黑体" w:cs="黑体"/>
          <w:sz w:val="28"/>
          <w:szCs w:val="28"/>
        </w:rPr>
        <w:t>1</w:t>
      </w:r>
      <w:r>
        <w:rPr>
          <w:rFonts w:hint="eastAsia" w:ascii="黑体" w:hAnsi="黑体" w:eastAsia="黑体" w:cs="黑体"/>
          <w:sz w:val="28"/>
          <w:szCs w:val="28"/>
        </w:rPr>
        <w:t>：</w:t>
      </w:r>
    </w:p>
    <w:p w14:paraId="4698949A">
      <w:pPr>
        <w:spacing w:line="560" w:lineRule="exact"/>
        <w:jc w:val="center"/>
        <w:rPr>
          <w:rFonts w:ascii="方正小标宋简体" w:eastAsia="方正小标宋简体"/>
          <w:sz w:val="40"/>
          <w:szCs w:val="40"/>
        </w:rPr>
      </w:pPr>
      <w:r>
        <w:rPr>
          <w:rFonts w:hint="eastAsia" w:ascii="方正小标宋简体" w:eastAsia="方正小标宋简体" w:cs="方正小标宋简体"/>
          <w:sz w:val="40"/>
          <w:szCs w:val="40"/>
        </w:rPr>
        <w:t>“政采贷”操作流程</w:t>
      </w:r>
    </w:p>
    <w:p w14:paraId="5F042AE8">
      <w:pPr>
        <w:pStyle w:val="25"/>
      </w:pPr>
    </w:p>
    <w:p w14:paraId="07FF8AD4">
      <w:pPr>
        <w:pStyle w:val="25"/>
        <w:spacing w:line="240" w:lineRule="auto"/>
      </w:pPr>
      <w:r>
        <w:pict>
          <v:shape id="_x0000_i1025" o:spt="75" alt="图片1" type="#_x0000_t75" style="height:527.4pt;width:338.4pt;" filled="f" o:preferrelative="t" stroked="f" coordsize="21600,21600">
            <v:path/>
            <v:fill on="f" focussize="0,0"/>
            <v:stroke on="f" joinstyle="miter"/>
            <v:imagedata r:id="rId10" o:title=""/>
            <o:lock v:ext="edit" aspectratio="t"/>
            <w10:wrap type="none"/>
            <w10:anchorlock/>
          </v:shape>
        </w:pict>
      </w:r>
    </w:p>
    <w:p w14:paraId="2D8B06C6">
      <w:pPr>
        <w:pageBreakBefore/>
        <w:spacing w:line="560" w:lineRule="exact"/>
        <w:rPr>
          <w:rFonts w:ascii="黑体" w:hAnsi="黑体" w:eastAsia="黑体"/>
          <w:sz w:val="28"/>
          <w:szCs w:val="28"/>
        </w:rPr>
      </w:pPr>
      <w:r>
        <w:rPr>
          <w:rFonts w:hint="eastAsia" w:ascii="黑体" w:hAnsi="黑体" w:eastAsia="黑体" w:cs="黑体"/>
          <w:sz w:val="28"/>
          <w:szCs w:val="28"/>
        </w:rPr>
        <w:t>附件</w:t>
      </w:r>
      <w:r>
        <w:rPr>
          <w:rFonts w:ascii="黑体" w:hAnsi="黑体" w:eastAsia="黑体" w:cs="黑体"/>
          <w:sz w:val="28"/>
          <w:szCs w:val="28"/>
        </w:rPr>
        <w:t>2</w:t>
      </w:r>
      <w:r>
        <w:rPr>
          <w:rFonts w:hint="eastAsia" w:ascii="黑体" w:hAnsi="黑体" w:eastAsia="黑体" w:cs="黑体"/>
          <w:sz w:val="28"/>
          <w:szCs w:val="28"/>
        </w:rPr>
        <w:t>：</w:t>
      </w:r>
    </w:p>
    <w:p w14:paraId="2566D3AF">
      <w:pPr>
        <w:pStyle w:val="25"/>
        <w:spacing w:line="560" w:lineRule="exact"/>
        <w:rPr>
          <w:sz w:val="24"/>
          <w:szCs w:val="24"/>
        </w:rPr>
      </w:pPr>
    </w:p>
    <w:p w14:paraId="49791E3E">
      <w:pPr>
        <w:spacing w:line="560" w:lineRule="exact"/>
        <w:jc w:val="center"/>
        <w:rPr>
          <w:rFonts w:ascii="方正小标宋简体" w:eastAsia="方正小标宋简体"/>
          <w:sz w:val="40"/>
          <w:szCs w:val="40"/>
        </w:rPr>
      </w:pPr>
      <w:r>
        <w:rPr>
          <w:rFonts w:hint="eastAsia" w:ascii="方正小标宋简体" w:eastAsia="方正小标宋简体" w:cs="方正小标宋简体"/>
          <w:sz w:val="40"/>
          <w:szCs w:val="40"/>
        </w:rPr>
        <w:t>承接银行联系方式</w:t>
      </w:r>
    </w:p>
    <w:p w14:paraId="60F2F08A">
      <w:pPr>
        <w:pStyle w:val="25"/>
        <w:spacing w:line="560" w:lineRule="exact"/>
        <w:ind w:firstLine="0"/>
        <w:jc w:val="left"/>
        <w:rPr>
          <w:rFonts w:ascii="黑体" w:hAnsi="黑体" w:eastAsia="黑体"/>
        </w:rPr>
      </w:pPr>
    </w:p>
    <w:p w14:paraId="65CBF404">
      <w:pPr>
        <w:pStyle w:val="25"/>
        <w:spacing w:line="560" w:lineRule="exact"/>
        <w:ind w:firstLine="560" w:firstLineChars="200"/>
        <w:rPr>
          <w:rFonts w:ascii="仿宋_GB2312" w:eastAsia="仿宋_GB2312" w:cs="仿宋_GB2312"/>
        </w:rPr>
      </w:pPr>
      <w:r>
        <w:rPr>
          <w:rFonts w:hint="eastAsia" w:ascii="仿宋_GB2312" w:eastAsia="仿宋_GB2312" w:cs="仿宋_GB2312"/>
        </w:rPr>
        <w:t>兰州银行陇南分行</w:t>
      </w:r>
      <w:r>
        <w:rPr>
          <w:rFonts w:ascii="仿宋_GB2312" w:eastAsia="仿宋_GB2312" w:cs="仿宋_GB2312"/>
        </w:rPr>
        <w:t xml:space="preserve">      </w:t>
      </w:r>
      <w:r>
        <w:rPr>
          <w:rFonts w:hint="eastAsia" w:ascii="仿宋_GB2312" w:eastAsia="仿宋_GB2312" w:cs="仿宋_GB2312"/>
        </w:rPr>
        <w:t>石经理：</w:t>
      </w:r>
      <w:r>
        <w:rPr>
          <w:rFonts w:ascii="仿宋_GB2312" w:eastAsia="仿宋_GB2312" w:cs="仿宋_GB2312"/>
        </w:rPr>
        <w:t>18193981010</w:t>
      </w:r>
    </w:p>
    <w:p w14:paraId="3488C157">
      <w:pPr>
        <w:pStyle w:val="25"/>
        <w:spacing w:line="560" w:lineRule="exact"/>
        <w:ind w:firstLine="560" w:firstLineChars="200"/>
        <w:rPr>
          <w:rFonts w:ascii="仿宋_GB2312" w:eastAsia="仿宋_GB2312" w:cs="仿宋_GB2312"/>
        </w:rPr>
      </w:pPr>
      <w:r>
        <w:rPr>
          <w:rFonts w:hint="eastAsia" w:ascii="仿宋_GB2312" w:eastAsia="仿宋_GB2312" w:cs="仿宋_GB2312"/>
        </w:rPr>
        <w:t>甘肃银行陇南分行</w:t>
      </w:r>
      <w:r>
        <w:rPr>
          <w:rFonts w:ascii="仿宋_GB2312" w:eastAsia="仿宋_GB2312" w:cs="仿宋_GB2312"/>
        </w:rPr>
        <w:t xml:space="preserve">      </w:t>
      </w:r>
      <w:r>
        <w:rPr>
          <w:rFonts w:hint="eastAsia" w:ascii="仿宋_GB2312" w:eastAsia="仿宋_GB2312" w:cs="仿宋_GB2312"/>
        </w:rPr>
        <w:t>庞经理：</w:t>
      </w:r>
      <w:r>
        <w:rPr>
          <w:rFonts w:ascii="仿宋_GB2312" w:eastAsia="仿宋_GB2312" w:cs="仿宋_GB2312"/>
        </w:rPr>
        <w:t>181</w:t>
      </w:r>
      <w:r>
        <w:rPr>
          <w:rFonts w:hint="eastAsia" w:ascii="仿宋_GB2312" w:eastAsia="仿宋_GB2312" w:cs="仿宋_GB2312"/>
          <w:lang w:val="en-US" w:eastAsia="zh-CN"/>
        </w:rPr>
        <w:t>939</w:t>
      </w:r>
      <w:r>
        <w:rPr>
          <w:rFonts w:ascii="仿宋_GB2312" w:eastAsia="仿宋_GB2312" w:cs="仿宋_GB2312"/>
        </w:rPr>
        <w:t>99898</w:t>
      </w:r>
    </w:p>
    <w:p w14:paraId="656770DD">
      <w:pPr>
        <w:pStyle w:val="25"/>
        <w:spacing w:line="560" w:lineRule="exact"/>
        <w:ind w:firstLine="560" w:firstLineChars="200"/>
        <w:rPr>
          <w:rFonts w:ascii="仿宋_GB2312" w:eastAsia="仿宋_GB2312" w:cs="仿宋_GB2312"/>
        </w:rPr>
      </w:pPr>
      <w:r>
        <w:rPr>
          <w:rFonts w:hint="eastAsia" w:ascii="仿宋_GB2312" w:eastAsia="仿宋_GB2312" w:cs="仿宋_GB2312"/>
        </w:rPr>
        <w:t>金桥村镇银行</w:t>
      </w:r>
      <w:r>
        <w:rPr>
          <w:rFonts w:ascii="仿宋_GB2312" w:eastAsia="仿宋_GB2312" w:cs="仿宋_GB2312"/>
        </w:rPr>
        <w:t xml:space="preserve">          </w:t>
      </w:r>
      <w:r>
        <w:rPr>
          <w:rFonts w:hint="eastAsia" w:ascii="仿宋_GB2312" w:eastAsia="仿宋_GB2312" w:cs="仿宋_GB2312"/>
        </w:rPr>
        <w:t>司经理：</w:t>
      </w:r>
      <w:r>
        <w:rPr>
          <w:rFonts w:ascii="仿宋_GB2312" w:eastAsia="仿宋_GB2312" w:cs="仿宋_GB2312"/>
        </w:rPr>
        <w:t>13993900669</w:t>
      </w:r>
    </w:p>
    <w:p w14:paraId="659E6832">
      <w:pPr>
        <w:pStyle w:val="25"/>
        <w:spacing w:line="560" w:lineRule="exact"/>
        <w:ind w:firstLine="560" w:firstLineChars="200"/>
        <w:rPr>
          <w:rFonts w:ascii="仿宋_GB2312" w:eastAsia="仿宋_GB2312" w:cs="仿宋_GB2312"/>
        </w:rPr>
      </w:pPr>
      <w:r>
        <w:rPr>
          <w:rFonts w:hint="eastAsia" w:ascii="仿宋_GB2312" w:eastAsia="仿宋_GB2312" w:cs="仿宋_GB2312"/>
        </w:rPr>
        <w:t>邮储银行陇南分行</w:t>
      </w:r>
      <w:r>
        <w:rPr>
          <w:rFonts w:ascii="仿宋_GB2312" w:eastAsia="仿宋_GB2312" w:cs="仿宋_GB2312"/>
        </w:rPr>
        <w:t xml:space="preserve">      </w:t>
      </w:r>
      <w:r>
        <w:rPr>
          <w:rFonts w:hint="eastAsia" w:ascii="仿宋_GB2312" w:eastAsia="仿宋_GB2312" w:cs="仿宋_GB2312"/>
        </w:rPr>
        <w:t>段经理：</w:t>
      </w:r>
      <w:r>
        <w:rPr>
          <w:rFonts w:ascii="仿宋_GB2312" w:eastAsia="仿宋_GB2312" w:cs="仿宋_GB2312"/>
        </w:rPr>
        <w:t>18993928129</w:t>
      </w:r>
    </w:p>
    <w:p w14:paraId="0BED4E28">
      <w:pPr>
        <w:pStyle w:val="25"/>
        <w:spacing w:line="560" w:lineRule="exact"/>
        <w:ind w:firstLine="560" w:firstLineChars="200"/>
        <w:rPr>
          <w:rFonts w:ascii="仿宋_GB2312" w:eastAsia="仿宋_GB2312" w:cs="仿宋_GB2312"/>
        </w:rPr>
      </w:pPr>
      <w:r>
        <w:rPr>
          <w:rFonts w:hint="eastAsia" w:ascii="仿宋_GB2312" w:eastAsia="仿宋_GB2312" w:cs="仿宋_GB2312"/>
        </w:rPr>
        <w:t>农业银行陇南分行</w:t>
      </w:r>
      <w:r>
        <w:rPr>
          <w:rFonts w:ascii="仿宋_GB2312" w:eastAsia="仿宋_GB2312" w:cs="仿宋_GB2312"/>
        </w:rPr>
        <w:t xml:space="preserve">      </w:t>
      </w:r>
      <w:r>
        <w:rPr>
          <w:rFonts w:hint="eastAsia" w:ascii="仿宋_GB2312" w:eastAsia="仿宋_GB2312" w:cs="仿宋_GB2312"/>
        </w:rPr>
        <w:t>李</w:t>
      </w:r>
      <w:r>
        <w:rPr>
          <w:rFonts w:ascii="仿宋_GB2312" w:eastAsia="仿宋_GB2312" w:cs="仿宋_GB2312"/>
        </w:rPr>
        <w:t xml:space="preserve">  </w:t>
      </w:r>
      <w:r>
        <w:rPr>
          <w:rFonts w:hint="eastAsia" w:ascii="仿宋_GB2312" w:eastAsia="仿宋_GB2312" w:cs="仿宋_GB2312"/>
        </w:rPr>
        <w:t>总：</w:t>
      </w:r>
      <w:r>
        <w:rPr>
          <w:rFonts w:ascii="仿宋_GB2312" w:eastAsia="仿宋_GB2312" w:cs="仿宋_GB2312"/>
        </w:rPr>
        <w:t>13993966498</w:t>
      </w:r>
    </w:p>
    <w:p w14:paraId="0DA87136">
      <w:pPr>
        <w:pStyle w:val="25"/>
        <w:spacing w:line="560" w:lineRule="exact"/>
        <w:ind w:firstLine="560" w:firstLineChars="200"/>
        <w:rPr>
          <w:rFonts w:ascii="仿宋_GB2312" w:eastAsia="仿宋_GB2312" w:cs="仿宋_GB2312"/>
        </w:rPr>
      </w:pPr>
      <w:r>
        <w:rPr>
          <w:rFonts w:hint="eastAsia" w:ascii="仿宋_GB2312" w:eastAsia="仿宋_GB2312" w:cs="仿宋_GB2312"/>
        </w:rPr>
        <w:t>建设银行陇南分行</w:t>
      </w:r>
      <w:r>
        <w:rPr>
          <w:rFonts w:ascii="仿宋_GB2312" w:eastAsia="仿宋_GB2312" w:cs="仿宋_GB2312"/>
        </w:rPr>
        <w:t xml:space="preserve">      </w:t>
      </w:r>
      <w:r>
        <w:rPr>
          <w:rFonts w:hint="eastAsia" w:ascii="仿宋_GB2312" w:eastAsia="仿宋_GB2312" w:cs="仿宋_GB2312"/>
        </w:rPr>
        <w:t>毛经理：</w:t>
      </w:r>
      <w:r>
        <w:rPr>
          <w:rFonts w:ascii="仿宋_GB2312" w:eastAsia="仿宋_GB2312" w:cs="仿宋_GB2312"/>
        </w:rPr>
        <w:t>13830929935</w:t>
      </w:r>
    </w:p>
    <w:p w14:paraId="7E565A97">
      <w:pPr>
        <w:pStyle w:val="25"/>
        <w:spacing w:line="560" w:lineRule="exact"/>
        <w:ind w:firstLine="560" w:firstLineChars="200"/>
        <w:rPr>
          <w:rFonts w:ascii="仿宋_GB2312" w:eastAsia="仿宋_GB2312" w:cs="仿宋_GB2312"/>
        </w:rPr>
      </w:pPr>
      <w:r>
        <w:rPr>
          <w:rFonts w:hint="eastAsia" w:ascii="仿宋_GB2312" w:eastAsia="仿宋_GB2312" w:cs="仿宋_GB2312"/>
        </w:rPr>
        <w:t>工商银行陇南分行</w:t>
      </w:r>
      <w:r>
        <w:rPr>
          <w:rFonts w:ascii="仿宋_GB2312" w:eastAsia="仿宋_GB2312" w:cs="仿宋_GB2312"/>
        </w:rPr>
        <w:t xml:space="preserve">      </w:t>
      </w:r>
      <w:r>
        <w:rPr>
          <w:rFonts w:hint="eastAsia" w:ascii="仿宋_GB2312" w:eastAsia="仿宋_GB2312" w:cs="仿宋_GB2312"/>
        </w:rPr>
        <w:t>李经理：</w:t>
      </w:r>
      <w:r>
        <w:rPr>
          <w:rFonts w:ascii="仿宋_GB2312" w:eastAsia="仿宋_GB2312" w:cs="仿宋_GB2312"/>
        </w:rPr>
        <w:t>13993925895</w:t>
      </w:r>
    </w:p>
    <w:p w14:paraId="6D9191FD">
      <w:pPr>
        <w:pStyle w:val="25"/>
        <w:spacing w:line="560" w:lineRule="exact"/>
        <w:ind w:firstLine="560" w:firstLineChars="200"/>
        <w:rPr>
          <w:rFonts w:ascii="仿宋_GB2312" w:eastAsia="仿宋_GB2312" w:cs="仿宋_GB2312"/>
        </w:rPr>
      </w:pPr>
      <w:r>
        <w:rPr>
          <w:rFonts w:hint="eastAsia" w:ascii="仿宋_GB2312" w:eastAsia="仿宋_GB2312" w:cs="仿宋_GB2312"/>
        </w:rPr>
        <w:t>中国银行陇南分行</w:t>
      </w:r>
      <w:r>
        <w:rPr>
          <w:rFonts w:ascii="仿宋_GB2312" w:eastAsia="仿宋_GB2312" w:cs="仿宋_GB2312"/>
        </w:rPr>
        <w:t xml:space="preserve">      </w:t>
      </w:r>
      <w:r>
        <w:rPr>
          <w:rFonts w:hint="eastAsia" w:ascii="仿宋_GB2312" w:eastAsia="仿宋_GB2312" w:cs="仿宋_GB2312"/>
        </w:rPr>
        <w:t>刘经理：</w:t>
      </w:r>
      <w:r>
        <w:rPr>
          <w:rFonts w:ascii="仿宋_GB2312" w:eastAsia="仿宋_GB2312" w:cs="仿宋_GB2312"/>
        </w:rPr>
        <w:t>18293929500</w:t>
      </w:r>
    </w:p>
    <w:p w14:paraId="3182AECB">
      <w:pPr>
        <w:pStyle w:val="25"/>
        <w:spacing w:line="560" w:lineRule="exact"/>
        <w:ind w:firstLine="560" w:firstLineChars="200"/>
        <w:rPr>
          <w:rFonts w:ascii="仿宋_GB2312" w:eastAsia="仿宋_GB2312" w:cs="仿宋_GB2312"/>
        </w:rPr>
      </w:pPr>
      <w:r>
        <w:rPr>
          <w:rFonts w:hint="eastAsia" w:ascii="仿宋_GB2312" w:eastAsia="仿宋_GB2312" w:cs="仿宋_GB2312"/>
        </w:rPr>
        <w:t>陇南武都农村合作银行</w:t>
      </w:r>
      <w:r>
        <w:rPr>
          <w:rFonts w:ascii="仿宋_GB2312" w:eastAsia="仿宋_GB2312" w:cs="仿宋_GB2312"/>
        </w:rPr>
        <w:t xml:space="preserve">  </w:t>
      </w:r>
      <w:r>
        <w:rPr>
          <w:rFonts w:hint="eastAsia" w:ascii="仿宋_GB2312" w:eastAsia="仿宋_GB2312" w:cs="仿宋_GB2312"/>
        </w:rPr>
        <w:t>潘经理：</w:t>
      </w:r>
      <w:r>
        <w:rPr>
          <w:rFonts w:ascii="仿宋_GB2312" w:eastAsia="仿宋_GB2312" w:cs="仿宋_GB2312"/>
        </w:rPr>
        <w:t>13993940336</w:t>
      </w:r>
    </w:p>
    <w:p w14:paraId="34995D35">
      <w:pPr>
        <w:jc w:val="both"/>
        <w:rPr>
          <w:rFonts w:ascii="楷体" w:hAnsi="楷体" w:eastAsia="楷体"/>
          <w:sz w:val="28"/>
          <w:szCs w:val="28"/>
        </w:rPr>
      </w:pPr>
    </w:p>
    <w:p w14:paraId="6518FE31">
      <w:pPr>
        <w:pStyle w:val="4"/>
        <w:ind w:firstLine="0"/>
      </w:pPr>
    </w:p>
    <w:bookmarkEnd w:id="73"/>
    <w:bookmarkEnd w:id="74"/>
    <w:p w14:paraId="7ED53F2E">
      <w:pPr>
        <w:pageBreakBefore/>
        <w:numPr>
          <w:ilvl w:val="0"/>
          <w:numId w:val="8"/>
        </w:numPr>
        <w:spacing w:line="640" w:lineRule="exact"/>
        <w:jc w:val="center"/>
        <w:outlineLvl w:val="0"/>
        <w:rPr>
          <w:rFonts w:ascii="宋体"/>
          <w:b/>
          <w:bCs/>
          <w:kern w:val="0"/>
          <w:sz w:val="36"/>
          <w:szCs w:val="36"/>
        </w:rPr>
      </w:pPr>
      <w:bookmarkStart w:id="112" w:name="_Toc20191"/>
      <w:bookmarkStart w:id="113" w:name="_Toc9812"/>
      <w:bookmarkStart w:id="114" w:name="_Toc4898"/>
      <w:bookmarkStart w:id="115" w:name="_Toc9273"/>
      <w:bookmarkStart w:id="116" w:name="_Toc9296"/>
      <w:bookmarkStart w:id="117" w:name="_Toc457219504"/>
      <w:r>
        <w:rPr>
          <w:rFonts w:hint="eastAsia" w:ascii="宋体" w:hAnsi="宋体" w:cs="宋体"/>
          <w:b/>
          <w:bCs/>
          <w:kern w:val="0"/>
          <w:sz w:val="36"/>
          <w:szCs w:val="36"/>
        </w:rPr>
        <w:t>政府采购合同</w:t>
      </w:r>
      <w:bookmarkEnd w:id="112"/>
      <w:bookmarkEnd w:id="113"/>
      <w:bookmarkEnd w:id="114"/>
      <w:r>
        <w:rPr>
          <w:rFonts w:hint="eastAsia" w:ascii="宋体" w:hAnsi="宋体" w:cs="宋体"/>
          <w:b/>
          <w:bCs/>
          <w:kern w:val="0"/>
          <w:sz w:val="36"/>
          <w:szCs w:val="36"/>
        </w:rPr>
        <w:t>（以实际签订的合同为准）</w:t>
      </w:r>
      <w:bookmarkEnd w:id="115"/>
      <w:bookmarkEnd w:id="116"/>
    </w:p>
    <w:bookmarkEnd w:id="117"/>
    <w:p w14:paraId="3D76863B">
      <w:pPr>
        <w:spacing w:line="360" w:lineRule="auto"/>
        <w:jc w:val="both"/>
        <w:rPr>
          <w:rFonts w:hint="eastAsia" w:ascii="宋体" w:hAnsi="宋体"/>
          <w:b/>
          <w:color w:val="auto"/>
          <w:sz w:val="24"/>
          <w:szCs w:val="24"/>
          <w:highlight w:val="none"/>
        </w:rPr>
      </w:pPr>
      <w:r>
        <w:rPr>
          <w:rFonts w:hint="eastAsia" w:ascii="宋体" w:hAnsi="宋体"/>
          <w:b/>
          <w:color w:val="auto"/>
          <w:sz w:val="24"/>
          <w:szCs w:val="24"/>
          <w:highlight w:val="none"/>
        </w:rPr>
        <w:t>合同封面</w:t>
      </w:r>
      <w:r>
        <w:rPr>
          <w:rFonts w:hint="eastAsia" w:ascii="宋体" w:hAnsi="宋体"/>
          <w:b/>
          <w:color w:val="auto"/>
          <w:sz w:val="24"/>
          <w:szCs w:val="24"/>
          <w:highlight w:val="none"/>
          <w:lang w:eastAsia="zh-CN"/>
        </w:rPr>
        <w:t>格式</w:t>
      </w:r>
    </w:p>
    <w:p w14:paraId="0CFBB7CA">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5960F26B">
      <w:pPr>
        <w:spacing w:line="360" w:lineRule="auto"/>
        <w:jc w:val="left"/>
        <w:rPr>
          <w:rFonts w:hint="eastAsia" w:ascii="宋体" w:hAnsi="宋体"/>
          <w:color w:val="auto"/>
          <w:sz w:val="24"/>
          <w:szCs w:val="24"/>
          <w:highlight w:val="none"/>
        </w:rPr>
      </w:pPr>
    </w:p>
    <w:p w14:paraId="3397B5E2">
      <w:pPr>
        <w:spacing w:line="360" w:lineRule="auto"/>
        <w:jc w:val="left"/>
        <w:rPr>
          <w:rFonts w:hint="eastAsia" w:ascii="宋体" w:hAnsi="宋体"/>
          <w:color w:val="auto"/>
          <w:sz w:val="44"/>
          <w:szCs w:val="44"/>
          <w:highlight w:val="none"/>
          <w:u w:val="single"/>
        </w:rPr>
      </w:pPr>
      <w:r>
        <w:rPr>
          <w:rFonts w:hint="eastAsia" w:ascii="宋体" w:hAnsi="宋体"/>
          <w:color w:val="auto"/>
          <w:sz w:val="44"/>
          <w:szCs w:val="44"/>
          <w:highlight w:val="none"/>
        </w:rPr>
        <w:t xml:space="preserve"> </w:t>
      </w:r>
      <w:r>
        <w:rPr>
          <w:rFonts w:hint="eastAsia" w:ascii="宋体" w:hAnsi="宋体"/>
          <w:color w:val="auto"/>
          <w:sz w:val="44"/>
          <w:szCs w:val="44"/>
          <w:highlight w:val="none"/>
          <w:lang w:val="en-US" w:eastAsia="zh-CN"/>
        </w:rPr>
        <w:t xml:space="preserve">      </w:t>
      </w:r>
      <w:r>
        <w:rPr>
          <w:rFonts w:hint="eastAsia" w:ascii="宋体" w:hAnsi="宋体"/>
          <w:color w:val="auto"/>
          <w:sz w:val="44"/>
          <w:szCs w:val="44"/>
          <w:highlight w:val="none"/>
          <w:u w:val="single"/>
        </w:rPr>
        <w:t xml:space="preserve">                      </w:t>
      </w:r>
      <w:r>
        <w:rPr>
          <w:rFonts w:hint="eastAsia" w:ascii="宋体" w:hAnsi="宋体"/>
          <w:color w:val="auto"/>
          <w:sz w:val="44"/>
          <w:szCs w:val="44"/>
          <w:highlight w:val="none"/>
        </w:rPr>
        <w:t>项目</w:t>
      </w:r>
    </w:p>
    <w:p w14:paraId="0861ACFF">
      <w:pPr>
        <w:spacing w:line="360" w:lineRule="auto"/>
        <w:jc w:val="center"/>
        <w:rPr>
          <w:rFonts w:hint="eastAsia" w:ascii="宋体" w:hAnsi="宋体"/>
          <w:color w:val="auto"/>
          <w:sz w:val="44"/>
          <w:szCs w:val="44"/>
          <w:highlight w:val="none"/>
        </w:rPr>
      </w:pPr>
      <w:r>
        <w:rPr>
          <w:rFonts w:hint="eastAsia" w:ascii="宋体" w:hAnsi="宋体"/>
          <w:color w:val="auto"/>
          <w:sz w:val="44"/>
          <w:szCs w:val="44"/>
          <w:highlight w:val="none"/>
        </w:rPr>
        <w:t>政府采购合同</w:t>
      </w:r>
    </w:p>
    <w:p w14:paraId="42FFFB4D">
      <w:pPr>
        <w:spacing w:line="360" w:lineRule="auto"/>
        <w:jc w:val="center"/>
        <w:rPr>
          <w:rFonts w:hint="eastAsia" w:ascii="宋体" w:hAnsi="宋体"/>
          <w:color w:val="auto"/>
          <w:sz w:val="24"/>
          <w:szCs w:val="24"/>
          <w:highlight w:val="none"/>
        </w:rPr>
      </w:pPr>
    </w:p>
    <w:p w14:paraId="78195507">
      <w:pPr>
        <w:spacing w:line="360" w:lineRule="auto"/>
        <w:jc w:val="center"/>
        <w:rPr>
          <w:rFonts w:hint="eastAsia" w:ascii="宋体" w:hAnsi="宋体"/>
          <w:color w:val="auto"/>
          <w:sz w:val="24"/>
          <w:szCs w:val="24"/>
          <w:highlight w:val="none"/>
        </w:rPr>
      </w:pPr>
    </w:p>
    <w:p w14:paraId="0D7E1D56">
      <w:pPr>
        <w:spacing w:line="360" w:lineRule="auto"/>
        <w:jc w:val="center"/>
        <w:rPr>
          <w:rFonts w:hint="eastAsia" w:ascii="宋体" w:hAnsi="宋体"/>
          <w:color w:val="auto"/>
          <w:sz w:val="24"/>
          <w:szCs w:val="24"/>
          <w:highlight w:val="none"/>
        </w:rPr>
      </w:pPr>
    </w:p>
    <w:p w14:paraId="097D4D70">
      <w:pPr>
        <w:tabs>
          <w:tab w:val="left" w:pos="709"/>
          <w:tab w:val="left" w:pos="1418"/>
        </w:tabs>
        <w:spacing w:line="360" w:lineRule="auto"/>
        <w:rPr>
          <w:rFonts w:hint="eastAsia" w:ascii="宋体" w:hAnsi="宋体"/>
          <w:color w:val="auto"/>
          <w:sz w:val="36"/>
          <w:szCs w:val="36"/>
          <w:highlight w:val="none"/>
        </w:rPr>
      </w:pPr>
      <w:r>
        <w:rPr>
          <w:rFonts w:hint="eastAsia" w:ascii="宋体" w:hAnsi="宋体"/>
          <w:color w:val="auto"/>
          <w:sz w:val="24"/>
          <w:szCs w:val="24"/>
          <w:highlight w:val="none"/>
        </w:rPr>
        <w:t xml:space="preserve">      </w:t>
      </w:r>
      <w:r>
        <w:rPr>
          <w:rFonts w:hint="eastAsia" w:ascii="宋体" w:hAnsi="宋体"/>
          <w:color w:val="auto"/>
          <w:sz w:val="32"/>
          <w:szCs w:val="32"/>
          <w:highlight w:val="none"/>
          <w:lang w:val="en-US" w:eastAsia="zh-CN"/>
        </w:rPr>
        <w:t xml:space="preserve">     </w:t>
      </w:r>
      <w:r>
        <w:rPr>
          <w:rFonts w:hint="eastAsia" w:hAnsi="宋体"/>
          <w:color w:val="auto"/>
          <w:sz w:val="32"/>
          <w:szCs w:val="32"/>
          <w:highlight w:val="none"/>
          <w:lang w:val="en-US" w:eastAsia="zh-CN"/>
        </w:rPr>
        <w:t xml:space="preserve">  </w:t>
      </w:r>
      <w:r>
        <w:rPr>
          <w:rFonts w:hint="eastAsia" w:ascii="宋体" w:hAnsi="宋体"/>
          <w:color w:val="auto"/>
          <w:sz w:val="36"/>
          <w:szCs w:val="36"/>
          <w:highlight w:val="none"/>
        </w:rPr>
        <w:t>合同编号：HT-(招标文件编号)</w:t>
      </w:r>
    </w:p>
    <w:p w14:paraId="46412E54">
      <w:pPr>
        <w:spacing w:line="360" w:lineRule="auto"/>
        <w:rPr>
          <w:rFonts w:hint="eastAsia" w:ascii="宋体" w:hAnsi="宋体"/>
          <w:color w:val="auto"/>
          <w:sz w:val="36"/>
          <w:szCs w:val="36"/>
          <w:highlight w:val="none"/>
        </w:rPr>
      </w:pPr>
      <w:r>
        <w:rPr>
          <w:rFonts w:hint="eastAsia" w:ascii="宋体" w:hAnsi="宋体"/>
          <w:color w:val="auto"/>
          <w:sz w:val="36"/>
          <w:szCs w:val="36"/>
          <w:highlight w:val="none"/>
        </w:rPr>
        <w:t xml:space="preserve">        </w:t>
      </w:r>
      <w:r>
        <w:rPr>
          <w:rFonts w:hint="eastAsia" w:ascii="宋体" w:hAnsi="宋体"/>
          <w:color w:val="auto"/>
          <w:sz w:val="36"/>
          <w:szCs w:val="36"/>
          <w:highlight w:val="none"/>
          <w:lang w:val="en-US" w:eastAsia="zh-CN"/>
        </w:rPr>
        <w:t xml:space="preserve"> </w:t>
      </w:r>
      <w:r>
        <w:rPr>
          <w:rFonts w:hint="eastAsia" w:hAnsi="宋体"/>
          <w:color w:val="auto"/>
          <w:sz w:val="36"/>
          <w:szCs w:val="36"/>
          <w:highlight w:val="none"/>
          <w:lang w:val="en-US" w:eastAsia="zh-CN"/>
        </w:rPr>
        <w:t xml:space="preserve"> </w:t>
      </w:r>
      <w:r>
        <w:rPr>
          <w:rFonts w:hint="eastAsia" w:ascii="宋体" w:hAnsi="宋体"/>
          <w:color w:val="auto"/>
          <w:sz w:val="36"/>
          <w:szCs w:val="36"/>
          <w:highlight w:val="none"/>
        </w:rPr>
        <w:t>项目名称：</w:t>
      </w:r>
    </w:p>
    <w:p w14:paraId="711BD8A8">
      <w:pPr>
        <w:spacing w:line="360" w:lineRule="auto"/>
        <w:rPr>
          <w:rFonts w:hint="eastAsia" w:ascii="宋体" w:hAnsi="宋体"/>
          <w:color w:val="auto"/>
          <w:sz w:val="36"/>
          <w:szCs w:val="36"/>
          <w:highlight w:val="none"/>
        </w:rPr>
      </w:pPr>
      <w:r>
        <w:rPr>
          <w:rFonts w:hint="eastAsia" w:ascii="宋体" w:hAnsi="宋体"/>
          <w:color w:val="auto"/>
          <w:sz w:val="36"/>
          <w:szCs w:val="36"/>
          <w:highlight w:val="none"/>
        </w:rPr>
        <w:t xml:space="preserve">        </w:t>
      </w:r>
      <w:r>
        <w:rPr>
          <w:rFonts w:hint="eastAsia" w:ascii="宋体" w:hAnsi="宋体"/>
          <w:color w:val="auto"/>
          <w:sz w:val="36"/>
          <w:szCs w:val="36"/>
          <w:highlight w:val="none"/>
          <w:lang w:val="en-US" w:eastAsia="zh-CN"/>
        </w:rPr>
        <w:t xml:space="preserve"> </w:t>
      </w:r>
      <w:r>
        <w:rPr>
          <w:rFonts w:hint="eastAsia" w:hAnsi="宋体"/>
          <w:color w:val="auto"/>
          <w:sz w:val="36"/>
          <w:szCs w:val="36"/>
          <w:highlight w:val="none"/>
          <w:lang w:val="en-US" w:eastAsia="zh-CN"/>
        </w:rPr>
        <w:t xml:space="preserve"> </w:t>
      </w:r>
      <w:r>
        <w:rPr>
          <w:rFonts w:hint="eastAsia" w:ascii="宋体" w:hAnsi="宋体"/>
          <w:color w:val="auto"/>
          <w:sz w:val="36"/>
          <w:szCs w:val="36"/>
          <w:highlight w:val="none"/>
        </w:rPr>
        <w:t>招标文件编号：</w:t>
      </w:r>
    </w:p>
    <w:p w14:paraId="1013CF92">
      <w:pPr>
        <w:spacing w:line="360" w:lineRule="auto"/>
        <w:rPr>
          <w:rFonts w:hint="eastAsia" w:ascii="宋体" w:hAnsi="宋体"/>
          <w:color w:val="auto"/>
          <w:sz w:val="36"/>
          <w:szCs w:val="36"/>
          <w:highlight w:val="none"/>
        </w:rPr>
      </w:pPr>
    </w:p>
    <w:p w14:paraId="4EE591E8">
      <w:pPr>
        <w:spacing w:line="360" w:lineRule="auto"/>
        <w:rPr>
          <w:rFonts w:hint="eastAsia" w:ascii="宋体" w:hAnsi="宋体"/>
          <w:color w:val="auto"/>
          <w:sz w:val="36"/>
          <w:szCs w:val="36"/>
          <w:highlight w:val="none"/>
        </w:rPr>
      </w:pPr>
    </w:p>
    <w:p w14:paraId="0E76E58C">
      <w:pPr>
        <w:spacing w:line="360" w:lineRule="auto"/>
        <w:rPr>
          <w:rFonts w:hint="eastAsia" w:ascii="宋体" w:hAnsi="宋体"/>
          <w:color w:val="auto"/>
          <w:sz w:val="36"/>
          <w:szCs w:val="36"/>
          <w:highlight w:val="none"/>
        </w:rPr>
      </w:pPr>
      <w:r>
        <w:rPr>
          <w:rFonts w:hint="eastAsia" w:ascii="宋体" w:hAnsi="宋体"/>
          <w:color w:val="auto"/>
          <w:sz w:val="36"/>
          <w:szCs w:val="36"/>
          <w:highlight w:val="none"/>
        </w:rPr>
        <w:t xml:space="preserve">        </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甲方：</w:t>
      </w:r>
    </w:p>
    <w:p w14:paraId="1FBF5C99">
      <w:pPr>
        <w:spacing w:line="360" w:lineRule="auto"/>
        <w:ind w:firstLine="720"/>
        <w:rPr>
          <w:rFonts w:hint="eastAsia" w:ascii="宋体" w:hAnsi="宋体"/>
          <w:color w:val="auto"/>
          <w:sz w:val="36"/>
          <w:szCs w:val="36"/>
          <w:highlight w:val="none"/>
        </w:rPr>
      </w:pPr>
      <w:r>
        <w:rPr>
          <w:rFonts w:hint="eastAsia" w:ascii="宋体" w:hAnsi="宋体"/>
          <w:color w:val="auto"/>
          <w:sz w:val="36"/>
          <w:szCs w:val="36"/>
          <w:highlight w:val="none"/>
        </w:rPr>
        <w:t xml:space="preserve">   </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 xml:space="preserve"> 乙方：</w:t>
      </w:r>
    </w:p>
    <w:p w14:paraId="4B026346">
      <w:pPr>
        <w:spacing w:line="360" w:lineRule="auto"/>
        <w:ind w:firstLine="720"/>
        <w:rPr>
          <w:rFonts w:hint="eastAsia" w:ascii="宋体" w:hAnsi="宋体" w:eastAsia="宋体"/>
          <w:color w:val="auto"/>
          <w:sz w:val="36"/>
          <w:szCs w:val="36"/>
          <w:highlight w:val="none"/>
          <w:lang w:eastAsia="zh-CN"/>
        </w:rPr>
      </w:pPr>
      <w:r>
        <w:rPr>
          <w:rFonts w:hint="eastAsia" w:hAnsi="宋体"/>
          <w:color w:val="auto"/>
          <w:sz w:val="36"/>
          <w:szCs w:val="36"/>
          <w:highlight w:val="none"/>
          <w:lang w:val="en-US" w:eastAsia="zh-CN"/>
        </w:rPr>
        <w:t xml:space="preserve">       </w:t>
      </w:r>
      <w:r>
        <w:rPr>
          <w:rFonts w:hint="eastAsia" w:hAnsi="宋体"/>
          <w:color w:val="auto"/>
          <w:sz w:val="36"/>
          <w:szCs w:val="36"/>
          <w:highlight w:val="none"/>
          <w:lang w:eastAsia="zh-CN"/>
        </w:rPr>
        <w:t>集采机构：甘肃省公共资源交易中心</w:t>
      </w:r>
    </w:p>
    <w:p w14:paraId="623BBD5F">
      <w:pPr>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lang w:val="en-US" w:eastAsia="zh-CN"/>
        </w:rPr>
        <w:t xml:space="preserve">     </w:t>
      </w:r>
    </w:p>
    <w:p w14:paraId="4249D0BB">
      <w:pPr>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年    月</w:t>
      </w:r>
    </w:p>
    <w:p w14:paraId="221E9770">
      <w:pPr>
        <w:spacing w:line="360" w:lineRule="auto"/>
        <w:jc w:val="center"/>
        <w:rPr>
          <w:rFonts w:hint="eastAsia" w:ascii="宋体" w:hAnsi="宋体"/>
          <w:b/>
          <w:color w:val="auto"/>
          <w:sz w:val="32"/>
          <w:szCs w:val="32"/>
          <w:highlight w:val="none"/>
          <w:lang w:eastAsia="zh-CN"/>
        </w:rPr>
      </w:pPr>
    </w:p>
    <w:p w14:paraId="29B7C30D">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lang w:eastAsia="zh-CN"/>
        </w:rPr>
        <w:t>一</w:t>
      </w:r>
      <w:r>
        <w:rPr>
          <w:rFonts w:hint="eastAsia" w:ascii="宋体" w:hAnsi="宋体"/>
          <w:b/>
          <w:color w:val="auto"/>
          <w:sz w:val="32"/>
          <w:szCs w:val="32"/>
          <w:highlight w:val="none"/>
        </w:rPr>
        <w:t>、政府采购合同协议书</w:t>
      </w:r>
    </w:p>
    <w:p w14:paraId="5EF54428">
      <w:pPr>
        <w:spacing w:line="360" w:lineRule="auto"/>
        <w:jc w:val="center"/>
        <w:rPr>
          <w:rFonts w:hint="eastAsia" w:ascii="宋体" w:hAnsi="宋体"/>
          <w:b/>
          <w:color w:val="auto"/>
          <w:sz w:val="24"/>
          <w:szCs w:val="24"/>
          <w:highlight w:val="none"/>
        </w:rPr>
      </w:pPr>
    </w:p>
    <w:p w14:paraId="39248473">
      <w:pPr>
        <w:spacing w:line="360" w:lineRule="auto"/>
        <w:ind w:firstLine="4560" w:firstLineChars="1900"/>
        <w:rPr>
          <w:rFonts w:hint="eastAsia" w:ascii="宋体" w:hAnsi="宋体"/>
          <w:b/>
          <w:color w:val="auto"/>
          <w:sz w:val="24"/>
          <w:szCs w:val="24"/>
          <w:highlight w:val="none"/>
        </w:rPr>
      </w:pPr>
      <w:r>
        <w:rPr>
          <w:rFonts w:hint="eastAsia" w:ascii="宋体" w:hAnsi="宋体"/>
          <w:color w:val="auto"/>
          <w:sz w:val="24"/>
          <w:szCs w:val="24"/>
          <w:highlight w:val="none"/>
        </w:rPr>
        <w:t>采购合同编号：</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HT-(</w:t>
      </w:r>
      <w:r>
        <w:rPr>
          <w:rFonts w:hint="eastAsia" w:ascii="宋体" w:hAnsi="宋体"/>
          <w:color w:val="auto"/>
          <w:sz w:val="24"/>
          <w:szCs w:val="24"/>
          <w:highlight w:val="none"/>
          <w:u w:val="single"/>
          <w:lang w:val="en-US" w:eastAsia="zh-CN"/>
        </w:rPr>
        <w:t>项目</w:t>
      </w:r>
      <w:r>
        <w:rPr>
          <w:rFonts w:hint="eastAsia" w:ascii="宋体" w:hAnsi="宋体"/>
          <w:color w:val="auto"/>
          <w:sz w:val="24"/>
          <w:szCs w:val="24"/>
          <w:highlight w:val="none"/>
          <w:u w:val="single"/>
        </w:rPr>
        <w:t>编号)</w:t>
      </w:r>
      <w:r>
        <w:rPr>
          <w:rFonts w:ascii="宋体" w:hAnsi="宋体"/>
          <w:color w:val="auto"/>
          <w:sz w:val="24"/>
          <w:szCs w:val="24"/>
          <w:highlight w:val="none"/>
          <w:u w:val="single"/>
        </w:rPr>
        <w:t xml:space="preserve"> </w:t>
      </w:r>
    </w:p>
    <w:p w14:paraId="0EC2CF2A">
      <w:pPr>
        <w:adjustRightInd w:val="0"/>
        <w:snapToGrid w:val="0"/>
        <w:spacing w:line="360" w:lineRule="auto"/>
        <w:jc w:val="center"/>
        <w:rPr>
          <w:rFonts w:hint="eastAsia" w:ascii="宋体" w:hAnsi="宋体"/>
          <w:b/>
          <w:color w:val="auto"/>
          <w:sz w:val="24"/>
          <w:szCs w:val="24"/>
          <w:highlight w:val="none"/>
        </w:rPr>
      </w:pPr>
    </w:p>
    <w:p w14:paraId="4D3F55E4">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（甲方）</w:t>
      </w:r>
    </w:p>
    <w:p w14:paraId="1EC867E7">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（乙方）</w:t>
      </w:r>
    </w:p>
    <w:p w14:paraId="0FCC2707">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为了保护甲、乙双方合法权益，根据《中华人民共和国合同法》、《中华人民共和国政府采购法》和《中华人民共和国政府采购法实施条例》及其他有关法律、法规、规章，双方签订本合同协议书。</w:t>
      </w:r>
    </w:p>
    <w:p w14:paraId="23EA651E">
      <w:pPr>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1.项目信息</w:t>
      </w:r>
    </w:p>
    <w:p w14:paraId="17E4BB8E">
      <w:pPr>
        <w:pStyle w:val="170"/>
        <w:adjustRightInd w:val="0"/>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（1）项目名称：</w:t>
      </w:r>
      <w:r>
        <w:rPr>
          <w:rFonts w:ascii="宋体" w:hAnsi="宋体"/>
          <w:color w:val="auto"/>
          <w:sz w:val="24"/>
          <w:szCs w:val="24"/>
          <w:highlight w:val="none"/>
          <w:u w:val="single"/>
        </w:rPr>
        <w:t xml:space="preserve">                                          </w:t>
      </w:r>
    </w:p>
    <w:p w14:paraId="604717CC">
      <w:pPr>
        <w:pStyle w:val="170"/>
        <w:adjustRightInd w:val="0"/>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（2）招标文件编号：</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72CF5CEF">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（3）项目内容：</w:t>
      </w:r>
      <w:r>
        <w:rPr>
          <w:rFonts w:hint="eastAsia" w:ascii="宋体" w:hAnsi="宋体"/>
          <w:color w:val="auto"/>
          <w:sz w:val="24"/>
          <w:szCs w:val="24"/>
          <w:highlight w:val="none"/>
          <w:u w:val="single"/>
        </w:rPr>
        <w:t xml:space="preserve">                             </w:t>
      </w:r>
    </w:p>
    <w:p w14:paraId="7F821955">
      <w:pPr>
        <w:adjustRightInd w:val="0"/>
        <w:snapToGrid w:val="0"/>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2.合同金额</w:t>
      </w:r>
    </w:p>
    <w:p w14:paraId="3A0D92B8">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（1）合同金额小写：</w:t>
      </w:r>
      <w:r>
        <w:rPr>
          <w:rFonts w:hint="eastAsia" w:ascii="宋体" w:hAnsi="宋体"/>
          <w:color w:val="auto"/>
          <w:sz w:val="24"/>
          <w:szCs w:val="24"/>
          <w:highlight w:val="none"/>
          <w:u w:val="single"/>
        </w:rPr>
        <w:t xml:space="preserve">                      </w:t>
      </w:r>
    </w:p>
    <w:p w14:paraId="2782DDCA">
      <w:pPr>
        <w:adjustRightInd w:val="0"/>
        <w:snapToGrid w:val="0"/>
        <w:spacing w:line="360" w:lineRule="auto"/>
        <w:ind w:firstLine="1080" w:firstLineChars="450"/>
        <w:rPr>
          <w:rFonts w:hint="eastAsia" w:ascii="宋体" w:hAnsi="宋体"/>
          <w:b/>
          <w:color w:val="auto"/>
          <w:sz w:val="24"/>
          <w:szCs w:val="24"/>
          <w:highlight w:val="none"/>
        </w:rPr>
      </w:pPr>
      <w:r>
        <w:rPr>
          <w:rFonts w:hint="eastAsia" w:ascii="宋体" w:hAnsi="宋体"/>
          <w:color w:val="auto"/>
          <w:sz w:val="24"/>
          <w:szCs w:val="24"/>
          <w:highlight w:val="none"/>
        </w:rPr>
        <w:t>大        写：</w:t>
      </w:r>
      <w:r>
        <w:rPr>
          <w:rFonts w:hint="eastAsia" w:ascii="宋体" w:hAnsi="宋体"/>
          <w:color w:val="auto"/>
          <w:sz w:val="24"/>
          <w:szCs w:val="24"/>
          <w:highlight w:val="none"/>
          <w:u w:val="single"/>
        </w:rPr>
        <w:t xml:space="preserve">                      </w:t>
      </w:r>
    </w:p>
    <w:p w14:paraId="12FF3943">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（2）合同价格形式：</w:t>
      </w:r>
      <w:r>
        <w:rPr>
          <w:rFonts w:hint="eastAsia" w:hAnsi="宋体"/>
          <w:color w:val="auto"/>
          <w:sz w:val="24"/>
          <w:szCs w:val="24"/>
          <w:highlight w:val="none"/>
          <w:lang w:val="en-US" w:eastAsia="zh-CN"/>
        </w:rPr>
        <w:t xml:space="preserve">             </w:t>
      </w:r>
    </w:p>
    <w:p w14:paraId="170D439E">
      <w:pPr>
        <w:adjustRightInd w:val="0"/>
        <w:snapToGrid w:val="0"/>
        <w:spacing w:line="360" w:lineRule="auto"/>
        <w:ind w:firstLine="482" w:firstLineChars="200"/>
        <w:rPr>
          <w:rFonts w:hint="eastAsia" w:ascii="宋体" w:hAnsi="宋体"/>
          <w:color w:val="auto"/>
          <w:sz w:val="24"/>
          <w:szCs w:val="24"/>
          <w:highlight w:val="none"/>
          <w:u w:val="single"/>
        </w:rPr>
      </w:pPr>
      <w:r>
        <w:rPr>
          <w:rFonts w:hint="eastAsia" w:ascii="宋体" w:hAnsi="宋体"/>
          <w:b/>
          <w:color w:val="auto"/>
          <w:sz w:val="24"/>
          <w:szCs w:val="24"/>
          <w:highlight w:val="none"/>
        </w:rPr>
        <w:t>3.履行合同的时间、地点及方式</w:t>
      </w:r>
      <w:r>
        <w:rPr>
          <w:rFonts w:hint="eastAsia" w:ascii="宋体" w:hAnsi="宋体"/>
          <w:color w:val="auto"/>
          <w:sz w:val="24"/>
          <w:szCs w:val="24"/>
          <w:highlight w:val="none"/>
          <w:u w:val="single"/>
        </w:rPr>
        <w:t xml:space="preserve"> </w:t>
      </w:r>
    </w:p>
    <w:p w14:paraId="63B40448">
      <w:pPr>
        <w:adjustRightInd w:val="0"/>
        <w:snapToGrid w:val="0"/>
        <w:spacing w:line="360" w:lineRule="auto"/>
        <w:ind w:firstLine="720" w:firstLineChars="300"/>
        <w:rPr>
          <w:rFonts w:hint="eastAsia" w:hAnsi="宋体"/>
          <w:color w:val="auto"/>
          <w:sz w:val="24"/>
          <w:szCs w:val="24"/>
          <w:highlight w:val="none"/>
          <w:lang w:eastAsia="zh-CN"/>
        </w:rPr>
      </w:pPr>
      <w:r>
        <w:rPr>
          <w:rFonts w:hint="eastAsia" w:hAnsi="宋体"/>
          <w:color w:val="auto"/>
          <w:sz w:val="24"/>
          <w:szCs w:val="24"/>
          <w:highlight w:val="none"/>
          <w:lang w:eastAsia="zh-CN"/>
        </w:rPr>
        <w:t>时间：</w:t>
      </w:r>
    </w:p>
    <w:p w14:paraId="4F94E966">
      <w:pPr>
        <w:adjustRightInd w:val="0"/>
        <w:snapToGrid w:val="0"/>
        <w:spacing w:line="360" w:lineRule="auto"/>
        <w:ind w:firstLine="720" w:firstLineChars="300"/>
        <w:rPr>
          <w:rFonts w:hint="eastAsia" w:ascii="宋体" w:hAnsi="宋体"/>
          <w:color w:val="auto"/>
          <w:sz w:val="24"/>
          <w:szCs w:val="24"/>
          <w:highlight w:val="none"/>
          <w:u w:val="single"/>
        </w:rPr>
      </w:pPr>
      <w:r>
        <w:rPr>
          <w:rFonts w:hint="eastAsia" w:ascii="宋体" w:hAnsi="宋体"/>
          <w:color w:val="auto"/>
          <w:sz w:val="24"/>
          <w:szCs w:val="24"/>
          <w:highlight w:val="none"/>
        </w:rPr>
        <w:t>地点</w:t>
      </w:r>
      <w:r>
        <w:rPr>
          <w:rFonts w:hint="eastAsia" w:ascii="宋体" w:hAnsi="宋体"/>
          <w:b/>
          <w:color w:val="auto"/>
          <w:sz w:val="24"/>
          <w:szCs w:val="24"/>
          <w:highlight w:val="none"/>
        </w:rPr>
        <w:t>：</w:t>
      </w:r>
      <w:r>
        <w:rPr>
          <w:rFonts w:hint="eastAsia" w:ascii="宋体" w:hAnsi="宋体"/>
          <w:color w:val="auto"/>
          <w:sz w:val="24"/>
          <w:szCs w:val="24"/>
          <w:highlight w:val="none"/>
          <w:u w:val="single"/>
        </w:rPr>
        <w:t xml:space="preserve">                             </w:t>
      </w:r>
    </w:p>
    <w:p w14:paraId="32880590">
      <w:pPr>
        <w:adjustRightInd w:val="0"/>
        <w:snapToGrid w:val="0"/>
        <w:spacing w:line="360" w:lineRule="auto"/>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方式：</w:t>
      </w:r>
      <w:r>
        <w:rPr>
          <w:rFonts w:hint="eastAsia" w:ascii="宋体" w:hAnsi="宋体"/>
          <w:color w:val="auto"/>
          <w:sz w:val="24"/>
          <w:szCs w:val="24"/>
          <w:highlight w:val="none"/>
          <w:u w:val="single"/>
        </w:rPr>
        <w:t xml:space="preserve">                             </w:t>
      </w:r>
    </w:p>
    <w:p w14:paraId="4BB529E0">
      <w:pPr>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4.付款：</w:t>
      </w:r>
    </w:p>
    <w:p w14:paraId="66D28AFF">
      <w:pPr>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5.解决合同纠纷方式</w:t>
      </w:r>
    </w:p>
    <w:p w14:paraId="438AF3CF">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首先通过双方协商解决，协商解决不成，则通过以下途径之一解决纠纷：</w:t>
      </w:r>
    </w:p>
    <w:p w14:paraId="46B2F8B2">
      <w:pPr>
        <w:adjustRightInd w:val="0"/>
        <w:snapToGrid w:val="0"/>
        <w:spacing w:line="360" w:lineRule="auto"/>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 提请仲裁       □ 向人民法院提起诉讼</w:t>
      </w:r>
    </w:p>
    <w:p w14:paraId="02998259">
      <w:pPr>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6.组成合同的文件</w:t>
      </w:r>
    </w:p>
    <w:p w14:paraId="07EB1CBC">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本协议书与下列文件一起构成合同文件，如下述文件之间有任何抵触、矛盾或歧义，应按以下顺序解释：</w:t>
      </w:r>
    </w:p>
    <w:p w14:paraId="2026FFB0">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（1）在采购或合同履行过程中乙方做出的承诺以及双方协商达成的变更或补充协议</w:t>
      </w:r>
    </w:p>
    <w:p w14:paraId="3C01FB26">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（2）中标通知书</w:t>
      </w:r>
    </w:p>
    <w:p w14:paraId="77B365C5">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（3）投标文件</w:t>
      </w:r>
    </w:p>
    <w:p w14:paraId="012C8A70">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（4）政府采购合同格式条款及其附件</w:t>
      </w:r>
    </w:p>
    <w:p w14:paraId="22FF39D8">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（5）专用合同条款</w:t>
      </w:r>
    </w:p>
    <w:p w14:paraId="36715651">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（6）通用合同条款</w:t>
      </w:r>
    </w:p>
    <w:p w14:paraId="26645DF1">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（7）标准、规范及有关技术文件</w:t>
      </w:r>
    </w:p>
    <w:p w14:paraId="100A238C">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（8）其他合同文件。</w:t>
      </w:r>
    </w:p>
    <w:p w14:paraId="20309197">
      <w:pPr>
        <w:adjustRightInd w:val="0"/>
        <w:snapToGrid w:val="0"/>
        <w:spacing w:line="360" w:lineRule="auto"/>
        <w:ind w:firstLine="354" w:firstLineChars="147"/>
        <w:rPr>
          <w:rFonts w:hint="eastAsia" w:ascii="宋体" w:hAnsi="宋体"/>
          <w:b/>
          <w:color w:val="auto"/>
          <w:sz w:val="24"/>
          <w:szCs w:val="24"/>
          <w:highlight w:val="none"/>
        </w:rPr>
      </w:pPr>
      <w:r>
        <w:rPr>
          <w:rFonts w:hint="eastAsia" w:ascii="宋体" w:hAnsi="宋体"/>
          <w:b/>
          <w:color w:val="auto"/>
          <w:sz w:val="24"/>
          <w:szCs w:val="24"/>
          <w:highlight w:val="none"/>
        </w:rPr>
        <w:t>7.合同生效</w:t>
      </w:r>
    </w:p>
    <w:p w14:paraId="20650DE8">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本合同自</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生效。</w:t>
      </w:r>
    </w:p>
    <w:p w14:paraId="76D64E99">
      <w:pPr>
        <w:adjustRightInd w:val="0"/>
        <w:snapToGrid w:val="0"/>
        <w:spacing w:line="360" w:lineRule="auto"/>
        <w:ind w:firstLine="354" w:firstLineChars="147"/>
        <w:rPr>
          <w:rFonts w:hint="eastAsia" w:ascii="宋体" w:hAnsi="宋体"/>
          <w:b/>
          <w:color w:val="auto"/>
          <w:sz w:val="24"/>
          <w:szCs w:val="24"/>
          <w:highlight w:val="none"/>
        </w:rPr>
      </w:pPr>
      <w:r>
        <w:rPr>
          <w:rFonts w:hint="eastAsia" w:ascii="宋体" w:hAnsi="宋体"/>
          <w:b/>
          <w:color w:val="auto"/>
          <w:sz w:val="24"/>
          <w:szCs w:val="24"/>
          <w:highlight w:val="none"/>
        </w:rPr>
        <w:t>8.合同份数</w:t>
      </w:r>
    </w:p>
    <w:p w14:paraId="271C4322">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本合同一式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份，采购人执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份，供应商执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份，均具有同等法律效力。</w:t>
      </w:r>
    </w:p>
    <w:p w14:paraId="3529955B">
      <w:pPr>
        <w:adjustRightInd w:val="0"/>
        <w:snapToGrid w:val="0"/>
        <w:spacing w:line="360" w:lineRule="auto"/>
        <w:rPr>
          <w:rFonts w:hint="eastAsia" w:ascii="宋体" w:hAnsi="宋体"/>
          <w:color w:val="auto"/>
          <w:sz w:val="24"/>
          <w:szCs w:val="24"/>
          <w:highlight w:val="none"/>
        </w:rPr>
      </w:pPr>
    </w:p>
    <w:p w14:paraId="4C507FA6">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合同订立时间：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3E07B25">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合同订立地点：</w:t>
      </w:r>
      <w:r>
        <w:rPr>
          <w:rFonts w:hint="eastAsia" w:ascii="宋体" w:hAnsi="宋体"/>
          <w:color w:val="auto"/>
          <w:sz w:val="24"/>
          <w:szCs w:val="24"/>
          <w:highlight w:val="none"/>
          <w:u w:val="single"/>
        </w:rPr>
        <w:t xml:space="preserve">                           </w:t>
      </w:r>
    </w:p>
    <w:p w14:paraId="039A431B">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6"/>
        <w:gridCol w:w="4212"/>
      </w:tblGrid>
      <w:tr w14:paraId="7768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0" w:hRule="atLeast"/>
          <w:jc w:val="center"/>
        </w:trPr>
        <w:tc>
          <w:tcPr>
            <w:tcW w:w="4396" w:type="dxa"/>
            <w:noWrap w:val="0"/>
            <w:vAlign w:val="center"/>
          </w:tcPr>
          <w:p w14:paraId="2B03EFD8">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甲方（公章）： </w:t>
            </w:r>
          </w:p>
          <w:p w14:paraId="2218B4F4">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地址： </w:t>
            </w:r>
          </w:p>
          <w:p w14:paraId="0E56E1CC">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电话:</w:t>
            </w:r>
          </w:p>
          <w:p w14:paraId="1F7B5999">
            <w:pPr>
              <w:spacing w:line="360" w:lineRule="auto"/>
              <w:rPr>
                <w:rFonts w:ascii="宋体" w:hAnsi="宋体"/>
                <w:color w:val="auto"/>
                <w:sz w:val="24"/>
                <w:szCs w:val="24"/>
                <w:highlight w:val="none"/>
              </w:rPr>
            </w:pPr>
            <w:r>
              <w:rPr>
                <w:rFonts w:hint="eastAsia" w:ascii="宋体" w:hAnsi="宋体"/>
                <w:color w:val="auto"/>
                <w:sz w:val="24"/>
                <w:szCs w:val="24"/>
                <w:highlight w:val="none"/>
              </w:rPr>
              <w:t>邮编:</w:t>
            </w:r>
          </w:p>
          <w:p w14:paraId="3D3A9C89">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法定代表人或</w:t>
            </w:r>
            <w:r>
              <w:rPr>
                <w:rFonts w:hint="default" w:hAnsi="宋体"/>
                <w:color w:val="auto"/>
                <w:sz w:val="24"/>
                <w:szCs w:val="24"/>
                <w:highlight w:val="none"/>
                <w:lang w:val="en" w:eastAsia="zh-CN"/>
              </w:rPr>
              <w:t>授权代表</w:t>
            </w:r>
            <w:r>
              <w:rPr>
                <w:rFonts w:hint="eastAsia" w:ascii="宋体" w:hAnsi="宋体"/>
                <w:color w:val="auto"/>
                <w:sz w:val="24"/>
                <w:szCs w:val="24"/>
                <w:highlight w:val="none"/>
              </w:rPr>
              <w:t>：</w:t>
            </w:r>
          </w:p>
          <w:p w14:paraId="711E62CC">
            <w:pPr>
              <w:spacing w:line="360" w:lineRule="auto"/>
              <w:rPr>
                <w:rFonts w:ascii="宋体" w:hAnsi="宋体"/>
                <w:color w:val="auto"/>
                <w:sz w:val="24"/>
                <w:szCs w:val="24"/>
                <w:highlight w:val="none"/>
              </w:rPr>
            </w:pPr>
            <w:r>
              <w:rPr>
                <w:rFonts w:hint="eastAsia" w:ascii="宋体" w:hAnsi="宋体"/>
                <w:color w:val="auto"/>
                <w:sz w:val="24"/>
                <w:szCs w:val="24"/>
                <w:highlight w:val="none"/>
              </w:rPr>
              <w:t>签字日期:       年     月     日</w:t>
            </w:r>
          </w:p>
          <w:p w14:paraId="103E4173">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经 办 人:</w:t>
            </w:r>
          </w:p>
          <w:p w14:paraId="018CABE7">
            <w:pPr>
              <w:spacing w:line="360" w:lineRule="auto"/>
              <w:rPr>
                <w:rFonts w:ascii="宋体" w:hAnsi="宋体"/>
                <w:color w:val="auto"/>
                <w:sz w:val="24"/>
                <w:szCs w:val="24"/>
                <w:highlight w:val="none"/>
              </w:rPr>
            </w:pPr>
            <w:r>
              <w:rPr>
                <w:rFonts w:hint="eastAsia" w:ascii="宋体" w:hAnsi="宋体"/>
                <w:color w:val="auto"/>
                <w:sz w:val="24"/>
                <w:szCs w:val="24"/>
                <w:highlight w:val="none"/>
              </w:rPr>
              <w:t>签字日期：      年     月     日</w:t>
            </w:r>
          </w:p>
          <w:p w14:paraId="40E9250C">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开户行： </w:t>
            </w:r>
          </w:p>
          <w:p w14:paraId="641733D5">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账号：</w:t>
            </w:r>
          </w:p>
        </w:tc>
        <w:tc>
          <w:tcPr>
            <w:tcW w:w="4212" w:type="dxa"/>
            <w:noWrap w:val="0"/>
            <w:vAlign w:val="center"/>
          </w:tcPr>
          <w:p w14:paraId="01733B64">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乙方（公章）： </w:t>
            </w:r>
          </w:p>
          <w:p w14:paraId="07D770E2">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地址：</w:t>
            </w:r>
          </w:p>
          <w:p w14:paraId="133DB84C">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电话:</w:t>
            </w:r>
          </w:p>
          <w:p w14:paraId="39CF2879">
            <w:pPr>
              <w:spacing w:line="360" w:lineRule="auto"/>
              <w:rPr>
                <w:rFonts w:ascii="宋体" w:hAnsi="宋体"/>
                <w:color w:val="auto"/>
                <w:sz w:val="24"/>
                <w:szCs w:val="24"/>
                <w:highlight w:val="none"/>
              </w:rPr>
            </w:pPr>
            <w:r>
              <w:rPr>
                <w:rFonts w:hint="eastAsia" w:ascii="宋体" w:hAnsi="宋体"/>
                <w:color w:val="auto"/>
                <w:sz w:val="24"/>
                <w:szCs w:val="24"/>
                <w:highlight w:val="none"/>
              </w:rPr>
              <w:t>邮编:</w:t>
            </w:r>
          </w:p>
          <w:p w14:paraId="61E1B277">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法定代表人或</w:t>
            </w:r>
            <w:r>
              <w:rPr>
                <w:rFonts w:hint="default" w:hAnsi="宋体"/>
                <w:color w:val="auto"/>
                <w:sz w:val="24"/>
                <w:szCs w:val="24"/>
                <w:highlight w:val="none"/>
                <w:lang w:val="en" w:eastAsia="zh-CN"/>
              </w:rPr>
              <w:t>授权代表</w:t>
            </w:r>
            <w:r>
              <w:rPr>
                <w:rFonts w:hint="eastAsia" w:ascii="宋体" w:hAnsi="宋体"/>
                <w:color w:val="auto"/>
                <w:sz w:val="24"/>
                <w:szCs w:val="24"/>
                <w:highlight w:val="none"/>
              </w:rPr>
              <w:t>：</w:t>
            </w:r>
          </w:p>
          <w:p w14:paraId="2C49CFA7">
            <w:pPr>
              <w:spacing w:line="360" w:lineRule="auto"/>
              <w:rPr>
                <w:rFonts w:ascii="宋体" w:hAnsi="宋体"/>
                <w:color w:val="auto"/>
                <w:sz w:val="24"/>
                <w:szCs w:val="24"/>
                <w:highlight w:val="none"/>
              </w:rPr>
            </w:pPr>
            <w:r>
              <w:rPr>
                <w:rFonts w:hint="eastAsia" w:ascii="宋体" w:hAnsi="宋体"/>
                <w:color w:val="auto"/>
                <w:sz w:val="24"/>
                <w:szCs w:val="24"/>
                <w:highlight w:val="none"/>
              </w:rPr>
              <w:t>签字日期:      年     月     日</w:t>
            </w:r>
          </w:p>
          <w:p w14:paraId="37B0633D">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经 办 人:</w:t>
            </w:r>
          </w:p>
          <w:p w14:paraId="56596A37">
            <w:pPr>
              <w:spacing w:line="360" w:lineRule="auto"/>
              <w:rPr>
                <w:rFonts w:ascii="宋体" w:hAnsi="宋体"/>
                <w:color w:val="auto"/>
                <w:sz w:val="24"/>
                <w:szCs w:val="24"/>
                <w:highlight w:val="none"/>
              </w:rPr>
            </w:pPr>
            <w:r>
              <w:rPr>
                <w:rFonts w:hint="eastAsia" w:ascii="宋体" w:hAnsi="宋体"/>
                <w:color w:val="auto"/>
                <w:sz w:val="24"/>
                <w:szCs w:val="24"/>
                <w:highlight w:val="none"/>
              </w:rPr>
              <w:t>签字日期：      年     月     日</w:t>
            </w:r>
          </w:p>
          <w:p w14:paraId="0D118B09">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开户行：</w:t>
            </w:r>
          </w:p>
          <w:p w14:paraId="0AE7F1E1">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账号：</w:t>
            </w:r>
          </w:p>
        </w:tc>
      </w:tr>
    </w:tbl>
    <w:p w14:paraId="3EA4A491">
      <w:pPr>
        <w:adjustRightInd w:val="0"/>
        <w:snapToGrid w:val="0"/>
        <w:spacing w:line="360" w:lineRule="auto"/>
        <w:ind w:firstLine="480" w:firstLineChars="200"/>
        <w:rPr>
          <w:rFonts w:hint="eastAsia" w:ascii="宋体" w:hAnsi="宋体"/>
          <w:bCs/>
          <w:color w:val="auto"/>
          <w:sz w:val="24"/>
          <w:szCs w:val="24"/>
          <w:highlight w:val="none"/>
        </w:rPr>
      </w:pPr>
    </w:p>
    <w:p w14:paraId="19DD2E17">
      <w:pPr>
        <w:adjustRightInd w:val="0"/>
        <w:snapToGrid w:val="0"/>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服务类政府采购合同格式文本</w:t>
      </w:r>
      <w:r>
        <w:rPr>
          <w:rFonts w:hint="eastAsia" w:ascii="宋体" w:hAnsi="宋体"/>
          <w:color w:val="auto"/>
          <w:sz w:val="24"/>
          <w:szCs w:val="24"/>
          <w:highlight w:val="none"/>
        </w:rPr>
        <w:t>省级以上政府部门或行业组织有标准或</w:t>
      </w:r>
      <w:r>
        <w:rPr>
          <w:rFonts w:ascii="宋体" w:hAnsi="宋体"/>
          <w:color w:val="auto"/>
          <w:sz w:val="24"/>
          <w:szCs w:val="24"/>
          <w:highlight w:val="none"/>
        </w:rPr>
        <w:t>示范</w:t>
      </w:r>
      <w:r>
        <w:rPr>
          <w:rFonts w:hint="eastAsia" w:ascii="宋体" w:hAnsi="宋体"/>
          <w:color w:val="auto"/>
          <w:sz w:val="24"/>
          <w:szCs w:val="24"/>
          <w:highlight w:val="none"/>
        </w:rPr>
        <w:t>文本的，应按照其文本确定</w:t>
      </w:r>
      <w:r>
        <w:rPr>
          <w:rFonts w:hint="eastAsia" w:ascii="宋体" w:hAnsi="宋体"/>
          <w:bCs/>
          <w:color w:val="auto"/>
          <w:sz w:val="24"/>
          <w:szCs w:val="24"/>
          <w:highlight w:val="none"/>
        </w:rPr>
        <w:t>合同格式</w:t>
      </w:r>
      <w:r>
        <w:rPr>
          <w:rFonts w:hint="eastAsia" w:ascii="宋体" w:hAnsi="宋体"/>
          <w:color w:val="auto"/>
          <w:sz w:val="24"/>
          <w:szCs w:val="24"/>
          <w:highlight w:val="none"/>
        </w:rPr>
        <w:t>。没有文本的，按照《中华人民共和国</w:t>
      </w:r>
      <w:r>
        <w:rPr>
          <w:rFonts w:hint="eastAsia" w:ascii="宋体" w:hAnsi="宋体"/>
          <w:color w:val="auto"/>
          <w:sz w:val="24"/>
          <w:szCs w:val="24"/>
          <w:highlight w:val="none"/>
          <w:lang w:val="en-US" w:eastAsia="zh-CN"/>
        </w:rPr>
        <w:t>民法典</w:t>
      </w:r>
      <w:r>
        <w:rPr>
          <w:rFonts w:hint="eastAsia" w:ascii="宋体" w:hAnsi="宋体"/>
          <w:color w:val="auto"/>
          <w:sz w:val="24"/>
          <w:szCs w:val="24"/>
          <w:highlight w:val="none"/>
        </w:rPr>
        <w:t>》及采购项目特点自行拟定特定文本确定</w:t>
      </w:r>
      <w:r>
        <w:rPr>
          <w:rFonts w:hint="eastAsia" w:ascii="宋体" w:hAnsi="宋体"/>
          <w:bCs/>
          <w:color w:val="auto"/>
          <w:sz w:val="24"/>
          <w:szCs w:val="24"/>
          <w:highlight w:val="none"/>
        </w:rPr>
        <w:t>合同格式</w:t>
      </w:r>
      <w:r>
        <w:rPr>
          <w:rFonts w:hint="eastAsia" w:ascii="宋体" w:hAnsi="宋体"/>
          <w:color w:val="auto"/>
          <w:sz w:val="24"/>
          <w:szCs w:val="24"/>
          <w:highlight w:val="none"/>
        </w:rPr>
        <w:t>。</w:t>
      </w:r>
    </w:p>
    <w:p w14:paraId="65E5505C">
      <w:pPr>
        <w:pStyle w:val="36"/>
        <w:ind w:left="0"/>
        <w:rPr>
          <w:rFonts w:ascii="宋体" w:cs="Times New Roman"/>
        </w:rPr>
      </w:pPr>
    </w:p>
    <w:sectPr>
      <w:headerReference r:id="rId6" w:type="first"/>
      <w:footerReference r:id="rId8" w:type="first"/>
      <w:headerReference r:id="rId5" w:type="default"/>
      <w:footerReference r:id="rId7" w:type="default"/>
      <w:pgSz w:w="11907" w:h="16839"/>
      <w:pgMar w:top="1440" w:right="1559" w:bottom="1440" w:left="1797" w:header="851" w:footer="56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20DA4">
    <w:pPr>
      <w:pStyle w:val="27"/>
    </w:pPr>
    <w:r>
      <w:rPr>
        <w:sz w:val="18"/>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BFF6B5A">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C8F8A">
    <w:pPr>
      <w:pStyle w:val="27"/>
      <w:pBdr>
        <w:top w:val="single" w:color="auto" w:sz="4" w:space="1"/>
      </w:pBdr>
    </w:pPr>
    <w:r>
      <w:pict>
        <v:shape id="文本框 18"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8A14821">
                <w:pPr>
                  <w:pStyle w:val="27"/>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35F76">
    <w:pPr>
      <w:pStyle w:val="27"/>
      <w:pBdr>
        <w:top w:val="single" w:color="auto" w:sz="4" w:space="1"/>
      </w:pBdr>
    </w:pPr>
    <w:r>
      <w:pict>
        <v:shape id="文本框 1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5CC0296">
                <w:pPr>
                  <w:pStyle w:val="2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DA748">
    <w:pPr>
      <w:pStyle w:val="29"/>
      <w:pBdr>
        <w:bottom w:val="none" w:color="auto" w:sz="0" w:space="0"/>
      </w:pBdr>
    </w:pPr>
  </w:p>
  <w:p w14:paraId="620A8C44">
    <w:pPr>
      <w:pStyle w:val="29"/>
      <w:pBdr>
        <w:bottom w:val="none" w:color="auto" w:sz="0" w:space="0"/>
      </w:pBdr>
    </w:pPr>
  </w:p>
  <w:p w14:paraId="7E31938A">
    <w:pPr>
      <w:pStyle w:val="29"/>
      <w:pBdr>
        <w:bottom w:val="none" w:color="auto" w:sz="0" w:space="0"/>
      </w:pBdr>
    </w:pPr>
  </w:p>
  <w:p w14:paraId="583EF658">
    <w:pPr>
      <w:pStyle w:val="29"/>
      <w:pBdr>
        <w:bottom w:val="none" w:color="auto" w:sz="0" w:space="0"/>
      </w:pBdr>
    </w:pPr>
  </w:p>
  <w:p w14:paraId="175490E5">
    <w:pPr>
      <w:pStyle w:val="29"/>
      <w:pBdr>
        <w:bottom w:val="double" w:color="auto" w:sz="8" w:space="1"/>
      </w:pBdr>
      <w:jc w:val="left"/>
    </w:pPr>
    <w:r>
      <w:t xml:space="preserve">                                                          </w:t>
    </w:r>
  </w:p>
  <w:p w14:paraId="1D686D7D">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4EC3B">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E73F0">
    <w:pPr>
      <w:pStyle w:val="29"/>
      <w:pBdr>
        <w:bottom w:val="none" w:color="auto" w:sz="0" w:space="0"/>
      </w:pBdr>
      <w:ind w:right="2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EFD2F"/>
    <w:multiLevelType w:val="singleLevel"/>
    <w:tmpl w:val="F44EFD2F"/>
    <w:lvl w:ilvl="0" w:tentative="0">
      <w:start w:val="1"/>
      <w:numFmt w:val="decimal"/>
      <w:suff w:val="nothing"/>
      <w:lvlText w:val="%1、"/>
      <w:lvlJc w:val="left"/>
    </w:lvl>
  </w:abstractNum>
  <w:abstractNum w:abstractNumId="1">
    <w:nsid w:val="FF5A1531"/>
    <w:multiLevelType w:val="singleLevel"/>
    <w:tmpl w:val="FF5A1531"/>
    <w:lvl w:ilvl="0" w:tentative="0">
      <w:start w:val="2"/>
      <w:numFmt w:val="decimal"/>
      <w:lvlText w:val="%1."/>
      <w:lvlJc w:val="left"/>
      <w:pPr>
        <w:tabs>
          <w:tab w:val="left" w:pos="312"/>
        </w:tabs>
      </w:pPr>
    </w:lvl>
  </w:abstractNum>
  <w:abstractNum w:abstractNumId="2">
    <w:nsid w:val="0B44F91A"/>
    <w:multiLevelType w:val="singleLevel"/>
    <w:tmpl w:val="0B44F91A"/>
    <w:lvl w:ilvl="0" w:tentative="0">
      <w:start w:val="3"/>
      <w:numFmt w:val="chineseCounting"/>
      <w:suff w:val="space"/>
      <w:lvlText w:val="第%1章"/>
      <w:lvlJc w:val="left"/>
      <w:rPr>
        <w:rFonts w:hint="eastAsia"/>
      </w:rPr>
    </w:lvl>
  </w:abstractNum>
  <w:abstractNum w:abstractNumId="3">
    <w:nsid w:val="0DED69D9"/>
    <w:multiLevelType w:val="multilevel"/>
    <w:tmpl w:val="0DED69D9"/>
    <w:lvl w:ilvl="0" w:tentative="0">
      <w:start w:val="1"/>
      <w:numFmt w:val="decimal"/>
      <w:lvlText w:val="%1."/>
      <w:lvlJc w:val="left"/>
      <w:pPr>
        <w:tabs>
          <w:tab w:val="left" w:pos="425"/>
        </w:tabs>
        <w:ind w:left="425" w:hanging="425"/>
      </w:pPr>
      <w:rPr>
        <w:rFonts w:hint="default" w:ascii="Times New Roman" w:hAnsi="Times New Roman" w:cs="Times New Roman"/>
        <w:b/>
        <w:bCs/>
        <w:color w:val="auto"/>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bCs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1F8145B2"/>
    <w:multiLevelType w:val="multilevel"/>
    <w:tmpl w:val="1F8145B2"/>
    <w:lvl w:ilvl="0" w:tentative="0">
      <w:start w:val="1"/>
      <w:numFmt w:val="decimal"/>
      <w:lvlText w:val="%1."/>
      <w:lvlJc w:val="left"/>
      <w:pPr>
        <w:tabs>
          <w:tab w:val="left" w:pos="425"/>
        </w:tabs>
        <w:ind w:left="425" w:hanging="425"/>
      </w:pPr>
      <w:rPr>
        <w:rFonts w:hint="default" w:ascii="Times New Roman" w:hAnsi="Times New Roman" w:cs="Times New Roman"/>
        <w:b/>
        <w:bCs/>
        <w:color w:val="auto"/>
        <w:sz w:val="24"/>
        <w:szCs w:val="24"/>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bCs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2FD98577"/>
    <w:multiLevelType w:val="singleLevel"/>
    <w:tmpl w:val="2FD98577"/>
    <w:lvl w:ilvl="0" w:tentative="0">
      <w:start w:val="1"/>
      <w:numFmt w:val="chineseCounting"/>
      <w:suff w:val="space"/>
      <w:lvlText w:val="第%1章"/>
      <w:lvlJc w:val="left"/>
      <w:rPr>
        <w:rFonts w:hint="eastAsia"/>
      </w:rPr>
    </w:lvl>
  </w:abstractNum>
  <w:abstractNum w:abstractNumId="6">
    <w:nsid w:val="380C785A"/>
    <w:multiLevelType w:val="singleLevel"/>
    <w:tmpl w:val="380C785A"/>
    <w:lvl w:ilvl="0" w:tentative="0">
      <w:start w:val="1"/>
      <w:numFmt w:val="decimal"/>
      <w:suff w:val="nothing"/>
      <w:lvlText w:val="%1、"/>
      <w:lvlJc w:val="left"/>
    </w:lvl>
  </w:abstractNum>
  <w:abstractNum w:abstractNumId="7">
    <w:nsid w:val="3EB27E52"/>
    <w:multiLevelType w:val="multilevel"/>
    <w:tmpl w:val="3EB27E52"/>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8">
    <w:nsid w:val="3F6C4BCB"/>
    <w:multiLevelType w:val="multilevel"/>
    <w:tmpl w:val="3F6C4BC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55FCC359"/>
    <w:multiLevelType w:val="singleLevel"/>
    <w:tmpl w:val="55FCC359"/>
    <w:lvl w:ilvl="0" w:tentative="0">
      <w:start w:val="8"/>
      <w:numFmt w:val="chineseCounting"/>
      <w:suff w:val="nothing"/>
      <w:lvlText w:val="%1、"/>
      <w:lvlJc w:val="left"/>
      <w:pPr>
        <w:ind w:left="522" w:leftChars="0" w:firstLine="0" w:firstLineChars="0"/>
      </w:pPr>
      <w:rPr>
        <w:rFonts w:hint="eastAsia"/>
      </w:rPr>
    </w:lvl>
  </w:abstractNum>
  <w:abstractNum w:abstractNumId="10">
    <w:nsid w:val="57D370C4"/>
    <w:multiLevelType w:val="multilevel"/>
    <w:tmpl w:val="57D370C4"/>
    <w:lvl w:ilvl="0" w:tentative="0">
      <w:start w:val="1"/>
      <w:numFmt w:val="decimal"/>
      <w:lvlText w:val="%1."/>
      <w:lvlJc w:val="left"/>
      <w:pPr>
        <w:tabs>
          <w:tab w:val="left" w:pos="425"/>
        </w:tabs>
        <w:ind w:left="425" w:hanging="425"/>
      </w:pPr>
      <w:rPr>
        <w:rFonts w:hint="default" w:ascii="Times New Roman" w:hAnsi="Times New Roman" w:cs="Times New Roman"/>
        <w:b/>
        <w:bCs/>
        <w:color w:val="auto"/>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bCs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57D4D560"/>
    <w:multiLevelType w:val="multilevel"/>
    <w:tmpl w:val="57D4D560"/>
    <w:lvl w:ilvl="0" w:tentative="0">
      <w:start w:val="35"/>
      <w:numFmt w:val="decimal"/>
      <w:lvlText w:val="%1."/>
      <w:lvlJc w:val="left"/>
      <w:pPr>
        <w:ind w:left="425" w:hanging="425"/>
      </w:pPr>
      <w:rPr>
        <w:rFonts w:hint="default" w:ascii="Times New Roman" w:hAnsi="Times New Roman" w:cs="Times New Roman"/>
        <w:b/>
        <w:bCs/>
        <w:color w:val="auto"/>
      </w:rPr>
    </w:lvl>
    <w:lvl w:ilvl="1" w:tentative="0">
      <w:start w:val="1"/>
      <w:numFmt w:val="decimal"/>
      <w:lvlText w:val="%1.%2."/>
      <w:lvlJc w:val="left"/>
      <w:pPr>
        <w:ind w:left="567" w:hanging="567"/>
      </w:pPr>
      <w:rPr>
        <w:rFonts w:hint="default" w:ascii="宋体" w:hAnsi="宋体" w:eastAsia="宋体"/>
        <w:b w:val="0"/>
        <w:bCs w:val="0"/>
        <w:color w:val="auto"/>
        <w:sz w:val="21"/>
        <w:szCs w:val="21"/>
      </w:rPr>
    </w:lvl>
    <w:lvl w:ilvl="2" w:tentative="0">
      <w:start w:val="1"/>
      <w:numFmt w:val="decimal"/>
      <w:lvlText w:val="%1.%2.%3."/>
      <w:lvlJc w:val="left"/>
      <w:pPr>
        <w:ind w:left="709" w:hanging="709"/>
      </w:pPr>
      <w:rPr>
        <w:rFonts w:hint="default" w:ascii="宋体" w:hAnsi="宋体" w:eastAsia="宋体"/>
        <w:b w:val="0"/>
        <w:bCs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57D4D604"/>
    <w:multiLevelType w:val="multilevel"/>
    <w:tmpl w:val="57D4D604"/>
    <w:lvl w:ilvl="0" w:tentative="0">
      <w:start w:val="33"/>
      <w:numFmt w:val="decimal"/>
      <w:lvlText w:val="%1."/>
      <w:lvlJc w:val="left"/>
      <w:pPr>
        <w:ind w:left="425" w:hanging="425"/>
      </w:pPr>
      <w:rPr>
        <w:rFonts w:hint="default" w:ascii="Times New Roman" w:hAnsi="Times New Roman" w:cs="Times New Roman"/>
        <w:b/>
        <w:bCs/>
        <w:color w:val="auto"/>
      </w:rPr>
    </w:lvl>
    <w:lvl w:ilvl="1" w:tentative="0">
      <w:start w:val="1"/>
      <w:numFmt w:val="decimal"/>
      <w:lvlText w:val="%1.%2."/>
      <w:lvlJc w:val="left"/>
      <w:pPr>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ind w:left="709" w:hanging="709"/>
      </w:pPr>
      <w:rPr>
        <w:rFonts w:hint="default" w:ascii="Times New Roman" w:hAnsi="Times New Roman" w:cs="Times New Roman"/>
        <w:b w:val="0"/>
        <w:bCs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5C74B834"/>
    <w:multiLevelType w:val="singleLevel"/>
    <w:tmpl w:val="5C74B834"/>
    <w:lvl w:ilvl="0" w:tentative="0">
      <w:start w:val="1"/>
      <w:numFmt w:val="decimal"/>
      <w:suff w:val="space"/>
      <w:lvlText w:val="%1."/>
      <w:lvlJc w:val="left"/>
    </w:lvl>
  </w:abstractNum>
  <w:abstractNum w:abstractNumId="14">
    <w:nsid w:val="5F8D43E3"/>
    <w:multiLevelType w:val="singleLevel"/>
    <w:tmpl w:val="5F8D43E3"/>
    <w:lvl w:ilvl="0" w:tentative="0">
      <w:start w:val="2"/>
      <w:numFmt w:val="decimal"/>
      <w:suff w:val="space"/>
      <w:lvlText w:val="%1."/>
      <w:lvlJc w:val="left"/>
    </w:lvl>
  </w:abstractNum>
  <w:abstractNum w:abstractNumId="15">
    <w:nsid w:val="60643E30"/>
    <w:multiLevelType w:val="singleLevel"/>
    <w:tmpl w:val="60643E30"/>
    <w:lvl w:ilvl="0" w:tentative="0">
      <w:start w:val="1"/>
      <w:numFmt w:val="decimal"/>
      <w:suff w:val="nothing"/>
      <w:lvlText w:val="%1."/>
      <w:lvlJc w:val="left"/>
    </w:lvl>
  </w:abstractNum>
  <w:abstractNum w:abstractNumId="16">
    <w:nsid w:val="6F7B0A6F"/>
    <w:multiLevelType w:val="multilevel"/>
    <w:tmpl w:val="6F7B0A6F"/>
    <w:lvl w:ilvl="0" w:tentative="0">
      <w:start w:val="4"/>
      <w:numFmt w:val="japaneseCounting"/>
      <w:pStyle w:val="109"/>
      <w:lvlText w:val="第%1章"/>
      <w:lvlJc w:val="left"/>
      <w:pPr>
        <w:tabs>
          <w:tab w:val="left" w:pos="1200"/>
        </w:tabs>
        <w:ind w:left="1200" w:hanging="1200"/>
      </w:pPr>
      <w:rPr>
        <w:rFonts w:hint="eastAsia"/>
      </w:rPr>
    </w:lvl>
    <w:lvl w:ilvl="1" w:tentative="0">
      <w:start w:val="5"/>
      <w:numFmt w:val="japaneseCounting"/>
      <w:lvlText w:val="%2）"/>
      <w:lvlJc w:val="left"/>
      <w:pPr>
        <w:tabs>
          <w:tab w:val="left" w:pos="840"/>
        </w:tabs>
        <w:ind w:left="840" w:hanging="420"/>
      </w:pPr>
      <w:rPr>
        <w:rFonts w:hint="default" w:ascii="Times New Roman" w:hAnsi="Times New Roman" w:cs="Times New Roman"/>
        <w:sz w:val="21"/>
        <w:szCs w:val="21"/>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num>
  <w:num w:numId="2">
    <w:abstractNumId w:val="5"/>
  </w:num>
  <w:num w:numId="3">
    <w:abstractNumId w:val="10"/>
  </w:num>
  <w:num w:numId="4">
    <w:abstractNumId w:val="8"/>
  </w:num>
  <w:num w:numId="5">
    <w:abstractNumId w:val="7"/>
  </w:num>
  <w:num w:numId="6">
    <w:abstractNumId w:val="12"/>
  </w:num>
  <w:num w:numId="7">
    <w:abstractNumId w:val="11"/>
  </w:num>
  <w:num w:numId="8">
    <w:abstractNumId w:val="2"/>
  </w:num>
  <w:num w:numId="9">
    <w:abstractNumId w:val="14"/>
  </w:num>
  <w:num w:numId="10">
    <w:abstractNumId w:val="1"/>
  </w:num>
  <w:num w:numId="11">
    <w:abstractNumId w:val="4"/>
  </w:num>
  <w:num w:numId="12">
    <w:abstractNumId w:val="3"/>
  </w:num>
  <w:num w:numId="13">
    <w:abstractNumId w:val="6"/>
  </w:num>
  <w:num w:numId="14">
    <w:abstractNumId w:val="0"/>
  </w:num>
  <w:num w:numId="15">
    <w:abstractNumId w:val="9"/>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0ZjhhZTY3ODRjNTg5ODdjZmM1YmMzYTliZDQwN2UifQ=="/>
  </w:docVars>
  <w:rsids>
    <w:rsidRoot w:val="00D750CD"/>
    <w:rsid w:val="0000031A"/>
    <w:rsid w:val="0000066E"/>
    <w:rsid w:val="0000207C"/>
    <w:rsid w:val="00003535"/>
    <w:rsid w:val="0000443B"/>
    <w:rsid w:val="00004634"/>
    <w:rsid w:val="000048EA"/>
    <w:rsid w:val="00005F29"/>
    <w:rsid w:val="00007015"/>
    <w:rsid w:val="00011118"/>
    <w:rsid w:val="0001222C"/>
    <w:rsid w:val="00012470"/>
    <w:rsid w:val="00012CB3"/>
    <w:rsid w:val="00013317"/>
    <w:rsid w:val="0001398E"/>
    <w:rsid w:val="00014458"/>
    <w:rsid w:val="000146DB"/>
    <w:rsid w:val="00015314"/>
    <w:rsid w:val="00016EE2"/>
    <w:rsid w:val="00017113"/>
    <w:rsid w:val="0001744E"/>
    <w:rsid w:val="00020C3B"/>
    <w:rsid w:val="00021C9D"/>
    <w:rsid w:val="00022230"/>
    <w:rsid w:val="000225FF"/>
    <w:rsid w:val="0002280F"/>
    <w:rsid w:val="00023015"/>
    <w:rsid w:val="0002378B"/>
    <w:rsid w:val="00023FA0"/>
    <w:rsid w:val="0002468D"/>
    <w:rsid w:val="0002574F"/>
    <w:rsid w:val="0002575B"/>
    <w:rsid w:val="00025B91"/>
    <w:rsid w:val="00025C6F"/>
    <w:rsid w:val="000308D2"/>
    <w:rsid w:val="00030B6E"/>
    <w:rsid w:val="00030C0D"/>
    <w:rsid w:val="00031026"/>
    <w:rsid w:val="000317BE"/>
    <w:rsid w:val="000328F2"/>
    <w:rsid w:val="00032A9E"/>
    <w:rsid w:val="00033261"/>
    <w:rsid w:val="0003333F"/>
    <w:rsid w:val="00036171"/>
    <w:rsid w:val="00036860"/>
    <w:rsid w:val="00036B4D"/>
    <w:rsid w:val="00036C56"/>
    <w:rsid w:val="00036FC7"/>
    <w:rsid w:val="0003738A"/>
    <w:rsid w:val="00037C20"/>
    <w:rsid w:val="00040B47"/>
    <w:rsid w:val="00040FC0"/>
    <w:rsid w:val="00041950"/>
    <w:rsid w:val="00042A62"/>
    <w:rsid w:val="00042B8B"/>
    <w:rsid w:val="00043066"/>
    <w:rsid w:val="0004319F"/>
    <w:rsid w:val="00043CB9"/>
    <w:rsid w:val="00044423"/>
    <w:rsid w:val="00044A12"/>
    <w:rsid w:val="0004652B"/>
    <w:rsid w:val="000474CA"/>
    <w:rsid w:val="00047AE9"/>
    <w:rsid w:val="00050207"/>
    <w:rsid w:val="00050C24"/>
    <w:rsid w:val="00051B9D"/>
    <w:rsid w:val="000527D0"/>
    <w:rsid w:val="00053E50"/>
    <w:rsid w:val="00053EEC"/>
    <w:rsid w:val="00055903"/>
    <w:rsid w:val="0005654A"/>
    <w:rsid w:val="0005667E"/>
    <w:rsid w:val="00056BA7"/>
    <w:rsid w:val="00056C15"/>
    <w:rsid w:val="00057651"/>
    <w:rsid w:val="000576DF"/>
    <w:rsid w:val="00057CC3"/>
    <w:rsid w:val="0006021D"/>
    <w:rsid w:val="00060692"/>
    <w:rsid w:val="000609C4"/>
    <w:rsid w:val="00061CE2"/>
    <w:rsid w:val="000621C5"/>
    <w:rsid w:val="000622C5"/>
    <w:rsid w:val="0006250A"/>
    <w:rsid w:val="00063774"/>
    <w:rsid w:val="00063A0A"/>
    <w:rsid w:val="00063CF3"/>
    <w:rsid w:val="000648A3"/>
    <w:rsid w:val="00065042"/>
    <w:rsid w:val="00065BCC"/>
    <w:rsid w:val="0006603F"/>
    <w:rsid w:val="0006648C"/>
    <w:rsid w:val="00070920"/>
    <w:rsid w:val="00070C29"/>
    <w:rsid w:val="000714DE"/>
    <w:rsid w:val="00071522"/>
    <w:rsid w:val="00071970"/>
    <w:rsid w:val="00072134"/>
    <w:rsid w:val="00072E30"/>
    <w:rsid w:val="0007405C"/>
    <w:rsid w:val="00074502"/>
    <w:rsid w:val="000748CA"/>
    <w:rsid w:val="000756D6"/>
    <w:rsid w:val="00075702"/>
    <w:rsid w:val="00075ED1"/>
    <w:rsid w:val="00076781"/>
    <w:rsid w:val="00077160"/>
    <w:rsid w:val="0007745C"/>
    <w:rsid w:val="00077ABA"/>
    <w:rsid w:val="00077B41"/>
    <w:rsid w:val="00080D6E"/>
    <w:rsid w:val="00081376"/>
    <w:rsid w:val="00081A2B"/>
    <w:rsid w:val="00082B37"/>
    <w:rsid w:val="000833BB"/>
    <w:rsid w:val="000849BF"/>
    <w:rsid w:val="000855D2"/>
    <w:rsid w:val="000904A6"/>
    <w:rsid w:val="0009147B"/>
    <w:rsid w:val="000934B7"/>
    <w:rsid w:val="00093B04"/>
    <w:rsid w:val="00094189"/>
    <w:rsid w:val="00095455"/>
    <w:rsid w:val="00095706"/>
    <w:rsid w:val="000959AC"/>
    <w:rsid w:val="000963A5"/>
    <w:rsid w:val="00096762"/>
    <w:rsid w:val="000973B0"/>
    <w:rsid w:val="00097BD5"/>
    <w:rsid w:val="000A102F"/>
    <w:rsid w:val="000A14EE"/>
    <w:rsid w:val="000A1A8E"/>
    <w:rsid w:val="000A23E4"/>
    <w:rsid w:val="000A2DAF"/>
    <w:rsid w:val="000A41EC"/>
    <w:rsid w:val="000A437F"/>
    <w:rsid w:val="000A639D"/>
    <w:rsid w:val="000A6D3E"/>
    <w:rsid w:val="000A7728"/>
    <w:rsid w:val="000A78D8"/>
    <w:rsid w:val="000A793D"/>
    <w:rsid w:val="000B2449"/>
    <w:rsid w:val="000B28AC"/>
    <w:rsid w:val="000B33EC"/>
    <w:rsid w:val="000B38F9"/>
    <w:rsid w:val="000B3BCD"/>
    <w:rsid w:val="000B6287"/>
    <w:rsid w:val="000B6FC3"/>
    <w:rsid w:val="000B701B"/>
    <w:rsid w:val="000C11EA"/>
    <w:rsid w:val="000C2718"/>
    <w:rsid w:val="000C28AC"/>
    <w:rsid w:val="000C32CF"/>
    <w:rsid w:val="000C34A9"/>
    <w:rsid w:val="000C387F"/>
    <w:rsid w:val="000C3AE9"/>
    <w:rsid w:val="000C3F11"/>
    <w:rsid w:val="000C4184"/>
    <w:rsid w:val="000C430A"/>
    <w:rsid w:val="000C447B"/>
    <w:rsid w:val="000C44EC"/>
    <w:rsid w:val="000C45DD"/>
    <w:rsid w:val="000C5723"/>
    <w:rsid w:val="000C77C2"/>
    <w:rsid w:val="000D14B3"/>
    <w:rsid w:val="000D18F7"/>
    <w:rsid w:val="000D2369"/>
    <w:rsid w:val="000D50E3"/>
    <w:rsid w:val="000D5627"/>
    <w:rsid w:val="000D5C20"/>
    <w:rsid w:val="000D5D94"/>
    <w:rsid w:val="000D5E80"/>
    <w:rsid w:val="000D5EC6"/>
    <w:rsid w:val="000D745D"/>
    <w:rsid w:val="000D758E"/>
    <w:rsid w:val="000E042B"/>
    <w:rsid w:val="000E0776"/>
    <w:rsid w:val="000E0792"/>
    <w:rsid w:val="000E0BE7"/>
    <w:rsid w:val="000E0FCA"/>
    <w:rsid w:val="000E14EC"/>
    <w:rsid w:val="000E184E"/>
    <w:rsid w:val="000E1F85"/>
    <w:rsid w:val="000E490E"/>
    <w:rsid w:val="000E49A1"/>
    <w:rsid w:val="000E52B8"/>
    <w:rsid w:val="000E561E"/>
    <w:rsid w:val="000E6266"/>
    <w:rsid w:val="000E7E6D"/>
    <w:rsid w:val="000E7FBE"/>
    <w:rsid w:val="000F006D"/>
    <w:rsid w:val="000F302A"/>
    <w:rsid w:val="000F391D"/>
    <w:rsid w:val="000F3BFE"/>
    <w:rsid w:val="000F3C07"/>
    <w:rsid w:val="000F517A"/>
    <w:rsid w:val="000F522F"/>
    <w:rsid w:val="000F5484"/>
    <w:rsid w:val="000F58D0"/>
    <w:rsid w:val="000F6636"/>
    <w:rsid w:val="000F70EF"/>
    <w:rsid w:val="000F723E"/>
    <w:rsid w:val="001008F2"/>
    <w:rsid w:val="0010134E"/>
    <w:rsid w:val="001014C4"/>
    <w:rsid w:val="00101C4B"/>
    <w:rsid w:val="0010275B"/>
    <w:rsid w:val="00102B0C"/>
    <w:rsid w:val="00102DAD"/>
    <w:rsid w:val="00103208"/>
    <w:rsid w:val="001047BF"/>
    <w:rsid w:val="00104947"/>
    <w:rsid w:val="00105144"/>
    <w:rsid w:val="001054F7"/>
    <w:rsid w:val="00105510"/>
    <w:rsid w:val="0010563D"/>
    <w:rsid w:val="00106911"/>
    <w:rsid w:val="001072AD"/>
    <w:rsid w:val="001103CB"/>
    <w:rsid w:val="00110AAB"/>
    <w:rsid w:val="00111163"/>
    <w:rsid w:val="00111633"/>
    <w:rsid w:val="0011326A"/>
    <w:rsid w:val="0011337E"/>
    <w:rsid w:val="00113A34"/>
    <w:rsid w:val="00114261"/>
    <w:rsid w:val="00114A75"/>
    <w:rsid w:val="001155F2"/>
    <w:rsid w:val="00115E3A"/>
    <w:rsid w:val="0011743E"/>
    <w:rsid w:val="00120CD5"/>
    <w:rsid w:val="00121E1C"/>
    <w:rsid w:val="00122D49"/>
    <w:rsid w:val="001232AA"/>
    <w:rsid w:val="00123BC4"/>
    <w:rsid w:val="00123D91"/>
    <w:rsid w:val="00124C96"/>
    <w:rsid w:val="00125980"/>
    <w:rsid w:val="00126041"/>
    <w:rsid w:val="00127660"/>
    <w:rsid w:val="00131082"/>
    <w:rsid w:val="0013147A"/>
    <w:rsid w:val="001321FA"/>
    <w:rsid w:val="001325AC"/>
    <w:rsid w:val="00132C61"/>
    <w:rsid w:val="00132F82"/>
    <w:rsid w:val="00133B24"/>
    <w:rsid w:val="00134060"/>
    <w:rsid w:val="001365BD"/>
    <w:rsid w:val="001371F6"/>
    <w:rsid w:val="00137F5F"/>
    <w:rsid w:val="00140C6E"/>
    <w:rsid w:val="00142006"/>
    <w:rsid w:val="00142B53"/>
    <w:rsid w:val="00143FD9"/>
    <w:rsid w:val="00144979"/>
    <w:rsid w:val="001453CA"/>
    <w:rsid w:val="001453FD"/>
    <w:rsid w:val="00145CB5"/>
    <w:rsid w:val="00146191"/>
    <w:rsid w:val="00146627"/>
    <w:rsid w:val="00146708"/>
    <w:rsid w:val="00147E2F"/>
    <w:rsid w:val="00147FBD"/>
    <w:rsid w:val="00150B85"/>
    <w:rsid w:val="00150CDA"/>
    <w:rsid w:val="0015110F"/>
    <w:rsid w:val="001517AD"/>
    <w:rsid w:val="001521B0"/>
    <w:rsid w:val="00152874"/>
    <w:rsid w:val="00152DF3"/>
    <w:rsid w:val="00153D7D"/>
    <w:rsid w:val="001549EE"/>
    <w:rsid w:val="001555D2"/>
    <w:rsid w:val="00155F3D"/>
    <w:rsid w:val="001561A5"/>
    <w:rsid w:val="001567E5"/>
    <w:rsid w:val="00156FED"/>
    <w:rsid w:val="001572FE"/>
    <w:rsid w:val="001579B4"/>
    <w:rsid w:val="001603D6"/>
    <w:rsid w:val="0016077E"/>
    <w:rsid w:val="00161825"/>
    <w:rsid w:val="001630A8"/>
    <w:rsid w:val="00163970"/>
    <w:rsid w:val="0016424C"/>
    <w:rsid w:val="001645C7"/>
    <w:rsid w:val="00164A11"/>
    <w:rsid w:val="00164B62"/>
    <w:rsid w:val="0016517F"/>
    <w:rsid w:val="0016584F"/>
    <w:rsid w:val="001671D3"/>
    <w:rsid w:val="00167AB3"/>
    <w:rsid w:val="00170B08"/>
    <w:rsid w:val="00170C68"/>
    <w:rsid w:val="00171F87"/>
    <w:rsid w:val="001721E0"/>
    <w:rsid w:val="001726A9"/>
    <w:rsid w:val="00172C86"/>
    <w:rsid w:val="00174281"/>
    <w:rsid w:val="001749F8"/>
    <w:rsid w:val="00175C53"/>
    <w:rsid w:val="00180517"/>
    <w:rsid w:val="001813E6"/>
    <w:rsid w:val="001818C0"/>
    <w:rsid w:val="00181966"/>
    <w:rsid w:val="00181BBA"/>
    <w:rsid w:val="00181F6A"/>
    <w:rsid w:val="00182079"/>
    <w:rsid w:val="00182727"/>
    <w:rsid w:val="00182E77"/>
    <w:rsid w:val="00183232"/>
    <w:rsid w:val="00183373"/>
    <w:rsid w:val="001845E3"/>
    <w:rsid w:val="001846F6"/>
    <w:rsid w:val="00184B6D"/>
    <w:rsid w:val="001853E6"/>
    <w:rsid w:val="00185DA8"/>
    <w:rsid w:val="0018687F"/>
    <w:rsid w:val="00186CE8"/>
    <w:rsid w:val="0018705D"/>
    <w:rsid w:val="00190B61"/>
    <w:rsid w:val="001916DC"/>
    <w:rsid w:val="001916E7"/>
    <w:rsid w:val="00193291"/>
    <w:rsid w:val="00194282"/>
    <w:rsid w:val="001945E0"/>
    <w:rsid w:val="0019487E"/>
    <w:rsid w:val="00195948"/>
    <w:rsid w:val="00195B5B"/>
    <w:rsid w:val="00195E8C"/>
    <w:rsid w:val="00196950"/>
    <w:rsid w:val="001A0AB5"/>
    <w:rsid w:val="001A28AF"/>
    <w:rsid w:val="001A2958"/>
    <w:rsid w:val="001A39D6"/>
    <w:rsid w:val="001A6830"/>
    <w:rsid w:val="001A6F34"/>
    <w:rsid w:val="001A77B2"/>
    <w:rsid w:val="001B3AE7"/>
    <w:rsid w:val="001B45B5"/>
    <w:rsid w:val="001B46FF"/>
    <w:rsid w:val="001B493D"/>
    <w:rsid w:val="001B519A"/>
    <w:rsid w:val="001B5C23"/>
    <w:rsid w:val="001B5D86"/>
    <w:rsid w:val="001B6327"/>
    <w:rsid w:val="001B6A3B"/>
    <w:rsid w:val="001B7003"/>
    <w:rsid w:val="001B7433"/>
    <w:rsid w:val="001B7484"/>
    <w:rsid w:val="001C13D0"/>
    <w:rsid w:val="001C176D"/>
    <w:rsid w:val="001C18DA"/>
    <w:rsid w:val="001C2742"/>
    <w:rsid w:val="001C3448"/>
    <w:rsid w:val="001C3838"/>
    <w:rsid w:val="001C39D7"/>
    <w:rsid w:val="001C4095"/>
    <w:rsid w:val="001C4299"/>
    <w:rsid w:val="001C4496"/>
    <w:rsid w:val="001C510A"/>
    <w:rsid w:val="001C5A72"/>
    <w:rsid w:val="001C60DC"/>
    <w:rsid w:val="001C6231"/>
    <w:rsid w:val="001C65F9"/>
    <w:rsid w:val="001C7799"/>
    <w:rsid w:val="001C7A5D"/>
    <w:rsid w:val="001C7AD0"/>
    <w:rsid w:val="001C7C8F"/>
    <w:rsid w:val="001C7EAC"/>
    <w:rsid w:val="001D034A"/>
    <w:rsid w:val="001D14F5"/>
    <w:rsid w:val="001D1F5A"/>
    <w:rsid w:val="001D2301"/>
    <w:rsid w:val="001D27DB"/>
    <w:rsid w:val="001D2C2A"/>
    <w:rsid w:val="001D3040"/>
    <w:rsid w:val="001D3433"/>
    <w:rsid w:val="001D3F7A"/>
    <w:rsid w:val="001D4AD3"/>
    <w:rsid w:val="001D4AE9"/>
    <w:rsid w:val="001D4E51"/>
    <w:rsid w:val="001D58C6"/>
    <w:rsid w:val="001D58EE"/>
    <w:rsid w:val="001D5C49"/>
    <w:rsid w:val="001D6AA6"/>
    <w:rsid w:val="001D6CC0"/>
    <w:rsid w:val="001D7FED"/>
    <w:rsid w:val="001E1D02"/>
    <w:rsid w:val="001E20BF"/>
    <w:rsid w:val="001E39DA"/>
    <w:rsid w:val="001E4181"/>
    <w:rsid w:val="001E4705"/>
    <w:rsid w:val="001E4BB4"/>
    <w:rsid w:val="001E51C3"/>
    <w:rsid w:val="001E52C4"/>
    <w:rsid w:val="001E5705"/>
    <w:rsid w:val="001E6C55"/>
    <w:rsid w:val="001E6F7A"/>
    <w:rsid w:val="001F0424"/>
    <w:rsid w:val="001F0B1E"/>
    <w:rsid w:val="001F0C3F"/>
    <w:rsid w:val="001F1333"/>
    <w:rsid w:val="001F17DC"/>
    <w:rsid w:val="001F19DA"/>
    <w:rsid w:val="001F210F"/>
    <w:rsid w:val="001F2D36"/>
    <w:rsid w:val="001F38D8"/>
    <w:rsid w:val="001F42BE"/>
    <w:rsid w:val="001F4419"/>
    <w:rsid w:val="001F4718"/>
    <w:rsid w:val="001F4C69"/>
    <w:rsid w:val="001F59F7"/>
    <w:rsid w:val="001F604B"/>
    <w:rsid w:val="001F717E"/>
    <w:rsid w:val="001F7DCE"/>
    <w:rsid w:val="00200CDA"/>
    <w:rsid w:val="00200FFF"/>
    <w:rsid w:val="0020156B"/>
    <w:rsid w:val="00201B21"/>
    <w:rsid w:val="00203BAE"/>
    <w:rsid w:val="00204BC5"/>
    <w:rsid w:val="00205319"/>
    <w:rsid w:val="0020634E"/>
    <w:rsid w:val="002065B4"/>
    <w:rsid w:val="00206806"/>
    <w:rsid w:val="002070C7"/>
    <w:rsid w:val="0020751A"/>
    <w:rsid w:val="00210A60"/>
    <w:rsid w:val="0021236E"/>
    <w:rsid w:val="002136F3"/>
    <w:rsid w:val="0021446B"/>
    <w:rsid w:val="002178C3"/>
    <w:rsid w:val="00217C8A"/>
    <w:rsid w:val="00217F65"/>
    <w:rsid w:val="00217FFB"/>
    <w:rsid w:val="0022047C"/>
    <w:rsid w:val="00220BE9"/>
    <w:rsid w:val="00220FC0"/>
    <w:rsid w:val="00221AE3"/>
    <w:rsid w:val="00223716"/>
    <w:rsid w:val="00223A63"/>
    <w:rsid w:val="00223CC4"/>
    <w:rsid w:val="00223D8E"/>
    <w:rsid w:val="0022404A"/>
    <w:rsid w:val="0022434E"/>
    <w:rsid w:val="0022436B"/>
    <w:rsid w:val="00224DC9"/>
    <w:rsid w:val="002256D7"/>
    <w:rsid w:val="00225B30"/>
    <w:rsid w:val="0022603D"/>
    <w:rsid w:val="002271B8"/>
    <w:rsid w:val="00227E8E"/>
    <w:rsid w:val="00230FC2"/>
    <w:rsid w:val="00231BEE"/>
    <w:rsid w:val="002330BD"/>
    <w:rsid w:val="0023469B"/>
    <w:rsid w:val="00235630"/>
    <w:rsid w:val="002359C7"/>
    <w:rsid w:val="00235A36"/>
    <w:rsid w:val="00237184"/>
    <w:rsid w:val="002422C0"/>
    <w:rsid w:val="00242D09"/>
    <w:rsid w:val="00242D25"/>
    <w:rsid w:val="002434E2"/>
    <w:rsid w:val="0024359A"/>
    <w:rsid w:val="002447AA"/>
    <w:rsid w:val="002447DA"/>
    <w:rsid w:val="00245938"/>
    <w:rsid w:val="0024691E"/>
    <w:rsid w:val="00247D12"/>
    <w:rsid w:val="00251622"/>
    <w:rsid w:val="00251B94"/>
    <w:rsid w:val="0025201C"/>
    <w:rsid w:val="002522AA"/>
    <w:rsid w:val="0025237F"/>
    <w:rsid w:val="0025279B"/>
    <w:rsid w:val="0025367B"/>
    <w:rsid w:val="00254367"/>
    <w:rsid w:val="00254615"/>
    <w:rsid w:val="00255194"/>
    <w:rsid w:val="002556BC"/>
    <w:rsid w:val="00255CA5"/>
    <w:rsid w:val="002606CA"/>
    <w:rsid w:val="00260CC2"/>
    <w:rsid w:val="00261108"/>
    <w:rsid w:val="002624A8"/>
    <w:rsid w:val="002624AF"/>
    <w:rsid w:val="00262A23"/>
    <w:rsid w:val="00262E48"/>
    <w:rsid w:val="00262EFE"/>
    <w:rsid w:val="0026510A"/>
    <w:rsid w:val="00265F41"/>
    <w:rsid w:val="002660CC"/>
    <w:rsid w:val="0026693E"/>
    <w:rsid w:val="00267DA0"/>
    <w:rsid w:val="002707F5"/>
    <w:rsid w:val="00270CE1"/>
    <w:rsid w:val="0027244F"/>
    <w:rsid w:val="00272BDE"/>
    <w:rsid w:val="00272D26"/>
    <w:rsid w:val="002734FB"/>
    <w:rsid w:val="00273720"/>
    <w:rsid w:val="00273F66"/>
    <w:rsid w:val="00274268"/>
    <w:rsid w:val="002745DA"/>
    <w:rsid w:val="00274E71"/>
    <w:rsid w:val="002752FE"/>
    <w:rsid w:val="00276836"/>
    <w:rsid w:val="00277170"/>
    <w:rsid w:val="0028033B"/>
    <w:rsid w:val="00280CAE"/>
    <w:rsid w:val="002838CA"/>
    <w:rsid w:val="00284842"/>
    <w:rsid w:val="00285881"/>
    <w:rsid w:val="00286971"/>
    <w:rsid w:val="00287216"/>
    <w:rsid w:val="00291354"/>
    <w:rsid w:val="0029163A"/>
    <w:rsid w:val="00291C45"/>
    <w:rsid w:val="00291D45"/>
    <w:rsid w:val="00292061"/>
    <w:rsid w:val="00292519"/>
    <w:rsid w:val="00292A18"/>
    <w:rsid w:val="002945B5"/>
    <w:rsid w:val="00295F80"/>
    <w:rsid w:val="002A0961"/>
    <w:rsid w:val="002A0A91"/>
    <w:rsid w:val="002A0D42"/>
    <w:rsid w:val="002A0D47"/>
    <w:rsid w:val="002A2194"/>
    <w:rsid w:val="002A29F8"/>
    <w:rsid w:val="002A38E4"/>
    <w:rsid w:val="002A3BAC"/>
    <w:rsid w:val="002A3D55"/>
    <w:rsid w:val="002A573C"/>
    <w:rsid w:val="002A5789"/>
    <w:rsid w:val="002A5DAC"/>
    <w:rsid w:val="002A5E3C"/>
    <w:rsid w:val="002A6847"/>
    <w:rsid w:val="002A78FC"/>
    <w:rsid w:val="002B11FB"/>
    <w:rsid w:val="002B12CF"/>
    <w:rsid w:val="002B15ED"/>
    <w:rsid w:val="002B1831"/>
    <w:rsid w:val="002B2732"/>
    <w:rsid w:val="002B2C71"/>
    <w:rsid w:val="002B33F5"/>
    <w:rsid w:val="002B3AE1"/>
    <w:rsid w:val="002B4358"/>
    <w:rsid w:val="002B454E"/>
    <w:rsid w:val="002B557E"/>
    <w:rsid w:val="002B69FF"/>
    <w:rsid w:val="002B7078"/>
    <w:rsid w:val="002B7A15"/>
    <w:rsid w:val="002C09D7"/>
    <w:rsid w:val="002C0AA8"/>
    <w:rsid w:val="002C184C"/>
    <w:rsid w:val="002C31FA"/>
    <w:rsid w:val="002C34F7"/>
    <w:rsid w:val="002C3AEA"/>
    <w:rsid w:val="002C3B22"/>
    <w:rsid w:val="002C3EDE"/>
    <w:rsid w:val="002C5AF0"/>
    <w:rsid w:val="002D0B79"/>
    <w:rsid w:val="002D2419"/>
    <w:rsid w:val="002D3E79"/>
    <w:rsid w:val="002D4AE9"/>
    <w:rsid w:val="002D4C3F"/>
    <w:rsid w:val="002D6906"/>
    <w:rsid w:val="002D69C2"/>
    <w:rsid w:val="002D69DC"/>
    <w:rsid w:val="002D6B72"/>
    <w:rsid w:val="002D6CF4"/>
    <w:rsid w:val="002E01DA"/>
    <w:rsid w:val="002E058F"/>
    <w:rsid w:val="002E1B81"/>
    <w:rsid w:val="002E2548"/>
    <w:rsid w:val="002E317A"/>
    <w:rsid w:val="002E324C"/>
    <w:rsid w:val="002E386C"/>
    <w:rsid w:val="002E4896"/>
    <w:rsid w:val="002E4E91"/>
    <w:rsid w:val="002E4EA5"/>
    <w:rsid w:val="002E4FC0"/>
    <w:rsid w:val="002E5DAA"/>
    <w:rsid w:val="002E5EC5"/>
    <w:rsid w:val="002E6B15"/>
    <w:rsid w:val="002E75BD"/>
    <w:rsid w:val="002E763A"/>
    <w:rsid w:val="002F026C"/>
    <w:rsid w:val="002F1ACE"/>
    <w:rsid w:val="002F1C1A"/>
    <w:rsid w:val="002F1FCD"/>
    <w:rsid w:val="002F28C2"/>
    <w:rsid w:val="002F33D7"/>
    <w:rsid w:val="002F4015"/>
    <w:rsid w:val="002F4813"/>
    <w:rsid w:val="002F491A"/>
    <w:rsid w:val="002F4F72"/>
    <w:rsid w:val="002F5916"/>
    <w:rsid w:val="003003D2"/>
    <w:rsid w:val="003011AD"/>
    <w:rsid w:val="00301F39"/>
    <w:rsid w:val="00302A80"/>
    <w:rsid w:val="00302DCE"/>
    <w:rsid w:val="00302F4B"/>
    <w:rsid w:val="0030313E"/>
    <w:rsid w:val="00305FF7"/>
    <w:rsid w:val="00306C97"/>
    <w:rsid w:val="0030762F"/>
    <w:rsid w:val="00307697"/>
    <w:rsid w:val="00310027"/>
    <w:rsid w:val="00310AE3"/>
    <w:rsid w:val="00311811"/>
    <w:rsid w:val="00313B80"/>
    <w:rsid w:val="00315082"/>
    <w:rsid w:val="00315427"/>
    <w:rsid w:val="00315B3B"/>
    <w:rsid w:val="00316177"/>
    <w:rsid w:val="003162E4"/>
    <w:rsid w:val="00317554"/>
    <w:rsid w:val="00317C2D"/>
    <w:rsid w:val="00320013"/>
    <w:rsid w:val="003206A8"/>
    <w:rsid w:val="003225F8"/>
    <w:rsid w:val="00322F0F"/>
    <w:rsid w:val="00322F79"/>
    <w:rsid w:val="00323035"/>
    <w:rsid w:val="00323A75"/>
    <w:rsid w:val="00324885"/>
    <w:rsid w:val="00325DB1"/>
    <w:rsid w:val="00326221"/>
    <w:rsid w:val="00326C9E"/>
    <w:rsid w:val="00327C40"/>
    <w:rsid w:val="00330424"/>
    <w:rsid w:val="003313EB"/>
    <w:rsid w:val="00331A0F"/>
    <w:rsid w:val="00333849"/>
    <w:rsid w:val="00334C78"/>
    <w:rsid w:val="00334EAB"/>
    <w:rsid w:val="00336D4B"/>
    <w:rsid w:val="0033710A"/>
    <w:rsid w:val="00341737"/>
    <w:rsid w:val="00341DE7"/>
    <w:rsid w:val="003437B5"/>
    <w:rsid w:val="00344854"/>
    <w:rsid w:val="00344A7F"/>
    <w:rsid w:val="00344DFB"/>
    <w:rsid w:val="00345D5C"/>
    <w:rsid w:val="00345F46"/>
    <w:rsid w:val="003462B4"/>
    <w:rsid w:val="0034658A"/>
    <w:rsid w:val="00346D5F"/>
    <w:rsid w:val="00346E1E"/>
    <w:rsid w:val="00347870"/>
    <w:rsid w:val="00347A9E"/>
    <w:rsid w:val="00347F9B"/>
    <w:rsid w:val="003502A6"/>
    <w:rsid w:val="00351F32"/>
    <w:rsid w:val="00352CC5"/>
    <w:rsid w:val="003533B9"/>
    <w:rsid w:val="00353412"/>
    <w:rsid w:val="00354196"/>
    <w:rsid w:val="003546B3"/>
    <w:rsid w:val="00354842"/>
    <w:rsid w:val="00355B7C"/>
    <w:rsid w:val="00355FDB"/>
    <w:rsid w:val="00356923"/>
    <w:rsid w:val="00356C17"/>
    <w:rsid w:val="003600F3"/>
    <w:rsid w:val="00360D94"/>
    <w:rsid w:val="00362B7B"/>
    <w:rsid w:val="0036362C"/>
    <w:rsid w:val="00364C73"/>
    <w:rsid w:val="00364E1A"/>
    <w:rsid w:val="00364F12"/>
    <w:rsid w:val="0036575E"/>
    <w:rsid w:val="00365D54"/>
    <w:rsid w:val="00366036"/>
    <w:rsid w:val="00367678"/>
    <w:rsid w:val="003679A4"/>
    <w:rsid w:val="00367C49"/>
    <w:rsid w:val="003704BA"/>
    <w:rsid w:val="00370559"/>
    <w:rsid w:val="00371743"/>
    <w:rsid w:val="00371FE4"/>
    <w:rsid w:val="00372B40"/>
    <w:rsid w:val="00372DDE"/>
    <w:rsid w:val="00373163"/>
    <w:rsid w:val="003732C5"/>
    <w:rsid w:val="003751E6"/>
    <w:rsid w:val="0037524D"/>
    <w:rsid w:val="00375419"/>
    <w:rsid w:val="00375C74"/>
    <w:rsid w:val="00377B2E"/>
    <w:rsid w:val="003803C8"/>
    <w:rsid w:val="00380B44"/>
    <w:rsid w:val="00380F5D"/>
    <w:rsid w:val="0038100A"/>
    <w:rsid w:val="00381488"/>
    <w:rsid w:val="00381597"/>
    <w:rsid w:val="00381925"/>
    <w:rsid w:val="003819B1"/>
    <w:rsid w:val="00382115"/>
    <w:rsid w:val="0038299D"/>
    <w:rsid w:val="00382CD0"/>
    <w:rsid w:val="0038495B"/>
    <w:rsid w:val="00384F4D"/>
    <w:rsid w:val="0038535D"/>
    <w:rsid w:val="00386B58"/>
    <w:rsid w:val="0038746D"/>
    <w:rsid w:val="00390B9E"/>
    <w:rsid w:val="00390BC4"/>
    <w:rsid w:val="00390D72"/>
    <w:rsid w:val="003913BA"/>
    <w:rsid w:val="00391A22"/>
    <w:rsid w:val="00391E7B"/>
    <w:rsid w:val="00392606"/>
    <w:rsid w:val="003926BE"/>
    <w:rsid w:val="0039381B"/>
    <w:rsid w:val="00393BA6"/>
    <w:rsid w:val="00394CFB"/>
    <w:rsid w:val="00394D1B"/>
    <w:rsid w:val="00394EE1"/>
    <w:rsid w:val="0039679A"/>
    <w:rsid w:val="0039683C"/>
    <w:rsid w:val="003A079D"/>
    <w:rsid w:val="003A19FA"/>
    <w:rsid w:val="003A21E1"/>
    <w:rsid w:val="003A23E7"/>
    <w:rsid w:val="003A3571"/>
    <w:rsid w:val="003A35A9"/>
    <w:rsid w:val="003A41F9"/>
    <w:rsid w:val="003A50B2"/>
    <w:rsid w:val="003A5116"/>
    <w:rsid w:val="003A52C3"/>
    <w:rsid w:val="003A5F27"/>
    <w:rsid w:val="003A7FBA"/>
    <w:rsid w:val="003B043C"/>
    <w:rsid w:val="003B05E5"/>
    <w:rsid w:val="003B09E4"/>
    <w:rsid w:val="003B0BBF"/>
    <w:rsid w:val="003B0D18"/>
    <w:rsid w:val="003B23D2"/>
    <w:rsid w:val="003B25C7"/>
    <w:rsid w:val="003B26CC"/>
    <w:rsid w:val="003B35B3"/>
    <w:rsid w:val="003B4800"/>
    <w:rsid w:val="003B4CA5"/>
    <w:rsid w:val="003B570C"/>
    <w:rsid w:val="003B6240"/>
    <w:rsid w:val="003B62EC"/>
    <w:rsid w:val="003C1CB7"/>
    <w:rsid w:val="003C1F4B"/>
    <w:rsid w:val="003C28C3"/>
    <w:rsid w:val="003C4C82"/>
    <w:rsid w:val="003C54E3"/>
    <w:rsid w:val="003C6F63"/>
    <w:rsid w:val="003D0093"/>
    <w:rsid w:val="003D029D"/>
    <w:rsid w:val="003D0367"/>
    <w:rsid w:val="003D2485"/>
    <w:rsid w:val="003D33A3"/>
    <w:rsid w:val="003D4006"/>
    <w:rsid w:val="003D4098"/>
    <w:rsid w:val="003D5706"/>
    <w:rsid w:val="003D745B"/>
    <w:rsid w:val="003D7996"/>
    <w:rsid w:val="003E02D7"/>
    <w:rsid w:val="003E07B3"/>
    <w:rsid w:val="003E3739"/>
    <w:rsid w:val="003E379A"/>
    <w:rsid w:val="003E4217"/>
    <w:rsid w:val="003E46B4"/>
    <w:rsid w:val="003E4E93"/>
    <w:rsid w:val="003E61C8"/>
    <w:rsid w:val="003E6542"/>
    <w:rsid w:val="003E6F7B"/>
    <w:rsid w:val="003E7057"/>
    <w:rsid w:val="003E731B"/>
    <w:rsid w:val="003E7751"/>
    <w:rsid w:val="003F08F0"/>
    <w:rsid w:val="003F1DF7"/>
    <w:rsid w:val="003F2C2A"/>
    <w:rsid w:val="003F4072"/>
    <w:rsid w:val="003F5B04"/>
    <w:rsid w:val="003F5C56"/>
    <w:rsid w:val="003F60CD"/>
    <w:rsid w:val="003F66A9"/>
    <w:rsid w:val="003F6ACC"/>
    <w:rsid w:val="00400EEA"/>
    <w:rsid w:val="00401001"/>
    <w:rsid w:val="00403FDA"/>
    <w:rsid w:val="00404C3A"/>
    <w:rsid w:val="00405755"/>
    <w:rsid w:val="00405BDB"/>
    <w:rsid w:val="00405E2E"/>
    <w:rsid w:val="004064D9"/>
    <w:rsid w:val="004066CB"/>
    <w:rsid w:val="00406C7D"/>
    <w:rsid w:val="0040722A"/>
    <w:rsid w:val="004072DE"/>
    <w:rsid w:val="00407E8E"/>
    <w:rsid w:val="0041060D"/>
    <w:rsid w:val="004112B9"/>
    <w:rsid w:val="004117A8"/>
    <w:rsid w:val="00411CAF"/>
    <w:rsid w:val="00412042"/>
    <w:rsid w:val="00412802"/>
    <w:rsid w:val="00413060"/>
    <w:rsid w:val="00413B99"/>
    <w:rsid w:val="00416045"/>
    <w:rsid w:val="004177B4"/>
    <w:rsid w:val="0041780C"/>
    <w:rsid w:val="004178EE"/>
    <w:rsid w:val="0042058A"/>
    <w:rsid w:val="004205CC"/>
    <w:rsid w:val="004232EA"/>
    <w:rsid w:val="00423550"/>
    <w:rsid w:val="004238AF"/>
    <w:rsid w:val="00424651"/>
    <w:rsid w:val="00425C9C"/>
    <w:rsid w:val="0042673E"/>
    <w:rsid w:val="00426889"/>
    <w:rsid w:val="004269A2"/>
    <w:rsid w:val="004278E3"/>
    <w:rsid w:val="00430973"/>
    <w:rsid w:val="00430AE9"/>
    <w:rsid w:val="0043186A"/>
    <w:rsid w:val="00432F61"/>
    <w:rsid w:val="00433AEB"/>
    <w:rsid w:val="00433C62"/>
    <w:rsid w:val="00435494"/>
    <w:rsid w:val="00436493"/>
    <w:rsid w:val="004367E9"/>
    <w:rsid w:val="00436CF2"/>
    <w:rsid w:val="004370AB"/>
    <w:rsid w:val="004373B4"/>
    <w:rsid w:val="00440D55"/>
    <w:rsid w:val="004412B9"/>
    <w:rsid w:val="004414F8"/>
    <w:rsid w:val="004415D1"/>
    <w:rsid w:val="0044238C"/>
    <w:rsid w:val="0044241E"/>
    <w:rsid w:val="00442B2D"/>
    <w:rsid w:val="00442F64"/>
    <w:rsid w:val="00443190"/>
    <w:rsid w:val="004439D3"/>
    <w:rsid w:val="00443E3F"/>
    <w:rsid w:val="00444068"/>
    <w:rsid w:val="004455EC"/>
    <w:rsid w:val="004456BB"/>
    <w:rsid w:val="004459B3"/>
    <w:rsid w:val="0044719B"/>
    <w:rsid w:val="00447836"/>
    <w:rsid w:val="00450BDD"/>
    <w:rsid w:val="00451BCD"/>
    <w:rsid w:val="00451CB7"/>
    <w:rsid w:val="00454CE5"/>
    <w:rsid w:val="00456F68"/>
    <w:rsid w:val="00457E46"/>
    <w:rsid w:val="004608BF"/>
    <w:rsid w:val="00460F03"/>
    <w:rsid w:val="004618DB"/>
    <w:rsid w:val="00461CB0"/>
    <w:rsid w:val="00462277"/>
    <w:rsid w:val="004624D6"/>
    <w:rsid w:val="0046396E"/>
    <w:rsid w:val="0046667E"/>
    <w:rsid w:val="00466AA5"/>
    <w:rsid w:val="00466CF7"/>
    <w:rsid w:val="00466FF7"/>
    <w:rsid w:val="00470129"/>
    <w:rsid w:val="00470283"/>
    <w:rsid w:val="00470774"/>
    <w:rsid w:val="00471053"/>
    <w:rsid w:val="00471627"/>
    <w:rsid w:val="0047189C"/>
    <w:rsid w:val="004730C1"/>
    <w:rsid w:val="004738C9"/>
    <w:rsid w:val="00474D27"/>
    <w:rsid w:val="00475C27"/>
    <w:rsid w:val="00475DB4"/>
    <w:rsid w:val="00475EC0"/>
    <w:rsid w:val="00476384"/>
    <w:rsid w:val="0047660A"/>
    <w:rsid w:val="0047786A"/>
    <w:rsid w:val="00481A79"/>
    <w:rsid w:val="0048242C"/>
    <w:rsid w:val="00482974"/>
    <w:rsid w:val="0048471F"/>
    <w:rsid w:val="00485C83"/>
    <w:rsid w:val="00485EF4"/>
    <w:rsid w:val="004865F5"/>
    <w:rsid w:val="00486999"/>
    <w:rsid w:val="0048724A"/>
    <w:rsid w:val="00487D98"/>
    <w:rsid w:val="00487FDB"/>
    <w:rsid w:val="004905D5"/>
    <w:rsid w:val="004908DC"/>
    <w:rsid w:val="0049166F"/>
    <w:rsid w:val="00491B8C"/>
    <w:rsid w:val="004922CB"/>
    <w:rsid w:val="004932FB"/>
    <w:rsid w:val="004941E2"/>
    <w:rsid w:val="00494E11"/>
    <w:rsid w:val="00495587"/>
    <w:rsid w:val="00495B13"/>
    <w:rsid w:val="00496077"/>
    <w:rsid w:val="00496743"/>
    <w:rsid w:val="00496BA8"/>
    <w:rsid w:val="00497C94"/>
    <w:rsid w:val="00497CA9"/>
    <w:rsid w:val="00497D32"/>
    <w:rsid w:val="004A078B"/>
    <w:rsid w:val="004A1C15"/>
    <w:rsid w:val="004A230C"/>
    <w:rsid w:val="004A2A7A"/>
    <w:rsid w:val="004A31D8"/>
    <w:rsid w:val="004A3923"/>
    <w:rsid w:val="004A3C9A"/>
    <w:rsid w:val="004A4E04"/>
    <w:rsid w:val="004A54CE"/>
    <w:rsid w:val="004A558B"/>
    <w:rsid w:val="004A5936"/>
    <w:rsid w:val="004A60D8"/>
    <w:rsid w:val="004A687A"/>
    <w:rsid w:val="004A6A12"/>
    <w:rsid w:val="004A6DDA"/>
    <w:rsid w:val="004A77CB"/>
    <w:rsid w:val="004A7B27"/>
    <w:rsid w:val="004B0C32"/>
    <w:rsid w:val="004B1EC0"/>
    <w:rsid w:val="004B2F94"/>
    <w:rsid w:val="004B33D8"/>
    <w:rsid w:val="004B4018"/>
    <w:rsid w:val="004B47C6"/>
    <w:rsid w:val="004B4CA3"/>
    <w:rsid w:val="004B4DA1"/>
    <w:rsid w:val="004B5195"/>
    <w:rsid w:val="004B5413"/>
    <w:rsid w:val="004B610B"/>
    <w:rsid w:val="004B632C"/>
    <w:rsid w:val="004B7691"/>
    <w:rsid w:val="004B79A2"/>
    <w:rsid w:val="004B79C8"/>
    <w:rsid w:val="004B79C9"/>
    <w:rsid w:val="004C013A"/>
    <w:rsid w:val="004C14EB"/>
    <w:rsid w:val="004C151A"/>
    <w:rsid w:val="004C22E7"/>
    <w:rsid w:val="004C2D6F"/>
    <w:rsid w:val="004C33F0"/>
    <w:rsid w:val="004C443D"/>
    <w:rsid w:val="004C4469"/>
    <w:rsid w:val="004C55D1"/>
    <w:rsid w:val="004C6551"/>
    <w:rsid w:val="004C662C"/>
    <w:rsid w:val="004C79E3"/>
    <w:rsid w:val="004D042E"/>
    <w:rsid w:val="004D08DC"/>
    <w:rsid w:val="004D0BF0"/>
    <w:rsid w:val="004D2DBC"/>
    <w:rsid w:val="004D3CD6"/>
    <w:rsid w:val="004D3EA6"/>
    <w:rsid w:val="004D4226"/>
    <w:rsid w:val="004D4C0B"/>
    <w:rsid w:val="004D5013"/>
    <w:rsid w:val="004D5549"/>
    <w:rsid w:val="004D5893"/>
    <w:rsid w:val="004D71A5"/>
    <w:rsid w:val="004D754D"/>
    <w:rsid w:val="004E0412"/>
    <w:rsid w:val="004E0C89"/>
    <w:rsid w:val="004E1395"/>
    <w:rsid w:val="004E1978"/>
    <w:rsid w:val="004E227B"/>
    <w:rsid w:val="004E294B"/>
    <w:rsid w:val="004E29FB"/>
    <w:rsid w:val="004E2E56"/>
    <w:rsid w:val="004E31F5"/>
    <w:rsid w:val="004E3BFD"/>
    <w:rsid w:val="004E3D7A"/>
    <w:rsid w:val="004E40F3"/>
    <w:rsid w:val="004E4835"/>
    <w:rsid w:val="004E5DB6"/>
    <w:rsid w:val="004E7546"/>
    <w:rsid w:val="004E7F40"/>
    <w:rsid w:val="004F10B8"/>
    <w:rsid w:val="004F11EE"/>
    <w:rsid w:val="004F1B27"/>
    <w:rsid w:val="004F1B46"/>
    <w:rsid w:val="004F1F96"/>
    <w:rsid w:val="004F23B9"/>
    <w:rsid w:val="004F4C54"/>
    <w:rsid w:val="004F6D49"/>
    <w:rsid w:val="004F7D39"/>
    <w:rsid w:val="004F7E7B"/>
    <w:rsid w:val="00500006"/>
    <w:rsid w:val="005002E7"/>
    <w:rsid w:val="005006C1"/>
    <w:rsid w:val="005015E6"/>
    <w:rsid w:val="00501C79"/>
    <w:rsid w:val="005037DE"/>
    <w:rsid w:val="00503E26"/>
    <w:rsid w:val="00504A5B"/>
    <w:rsid w:val="00504FEF"/>
    <w:rsid w:val="005053AF"/>
    <w:rsid w:val="00505464"/>
    <w:rsid w:val="005054AF"/>
    <w:rsid w:val="00505577"/>
    <w:rsid w:val="005070FA"/>
    <w:rsid w:val="00507F24"/>
    <w:rsid w:val="005101AD"/>
    <w:rsid w:val="0051085F"/>
    <w:rsid w:val="00510C2B"/>
    <w:rsid w:val="00510DEE"/>
    <w:rsid w:val="0051115E"/>
    <w:rsid w:val="005116CA"/>
    <w:rsid w:val="005124C0"/>
    <w:rsid w:val="005129B6"/>
    <w:rsid w:val="00513702"/>
    <w:rsid w:val="005162DD"/>
    <w:rsid w:val="005173B4"/>
    <w:rsid w:val="00520927"/>
    <w:rsid w:val="0052138C"/>
    <w:rsid w:val="0052175F"/>
    <w:rsid w:val="00522153"/>
    <w:rsid w:val="0052218C"/>
    <w:rsid w:val="005228BF"/>
    <w:rsid w:val="00524EA6"/>
    <w:rsid w:val="00524F26"/>
    <w:rsid w:val="0052531C"/>
    <w:rsid w:val="00525B25"/>
    <w:rsid w:val="00525E51"/>
    <w:rsid w:val="00526361"/>
    <w:rsid w:val="00527659"/>
    <w:rsid w:val="00527821"/>
    <w:rsid w:val="005278B9"/>
    <w:rsid w:val="00527A92"/>
    <w:rsid w:val="0053043C"/>
    <w:rsid w:val="00531948"/>
    <w:rsid w:val="00532B1C"/>
    <w:rsid w:val="00533243"/>
    <w:rsid w:val="00535233"/>
    <w:rsid w:val="0053553D"/>
    <w:rsid w:val="005357AC"/>
    <w:rsid w:val="00535939"/>
    <w:rsid w:val="00535FE9"/>
    <w:rsid w:val="00536774"/>
    <w:rsid w:val="00536D38"/>
    <w:rsid w:val="005371D4"/>
    <w:rsid w:val="005378EE"/>
    <w:rsid w:val="0053793D"/>
    <w:rsid w:val="00540383"/>
    <w:rsid w:val="0054068B"/>
    <w:rsid w:val="00545422"/>
    <w:rsid w:val="0054569E"/>
    <w:rsid w:val="0054576B"/>
    <w:rsid w:val="00546002"/>
    <w:rsid w:val="00546149"/>
    <w:rsid w:val="005464CB"/>
    <w:rsid w:val="00547379"/>
    <w:rsid w:val="005479D3"/>
    <w:rsid w:val="00550BDC"/>
    <w:rsid w:val="00550EC2"/>
    <w:rsid w:val="005515FF"/>
    <w:rsid w:val="0055469A"/>
    <w:rsid w:val="005551B0"/>
    <w:rsid w:val="00555A72"/>
    <w:rsid w:val="00556514"/>
    <w:rsid w:val="00556E30"/>
    <w:rsid w:val="005606BE"/>
    <w:rsid w:val="005609F6"/>
    <w:rsid w:val="00561ECF"/>
    <w:rsid w:val="005621C5"/>
    <w:rsid w:val="00562AE6"/>
    <w:rsid w:val="00562E37"/>
    <w:rsid w:val="00562F7A"/>
    <w:rsid w:val="00563250"/>
    <w:rsid w:val="005640B2"/>
    <w:rsid w:val="00564DAE"/>
    <w:rsid w:val="00565418"/>
    <w:rsid w:val="005659F5"/>
    <w:rsid w:val="00565B7F"/>
    <w:rsid w:val="00571389"/>
    <w:rsid w:val="0057182E"/>
    <w:rsid w:val="00571955"/>
    <w:rsid w:val="005727A5"/>
    <w:rsid w:val="00576E67"/>
    <w:rsid w:val="0057714F"/>
    <w:rsid w:val="005773E2"/>
    <w:rsid w:val="005776C9"/>
    <w:rsid w:val="0058203F"/>
    <w:rsid w:val="00583836"/>
    <w:rsid w:val="005849C7"/>
    <w:rsid w:val="00585FF5"/>
    <w:rsid w:val="005868A0"/>
    <w:rsid w:val="00586FC3"/>
    <w:rsid w:val="00587FBD"/>
    <w:rsid w:val="0059195D"/>
    <w:rsid w:val="00591EAD"/>
    <w:rsid w:val="0059241C"/>
    <w:rsid w:val="00593016"/>
    <w:rsid w:val="005931D0"/>
    <w:rsid w:val="00593516"/>
    <w:rsid w:val="00593C3A"/>
    <w:rsid w:val="00594A0A"/>
    <w:rsid w:val="005952AF"/>
    <w:rsid w:val="00596EE7"/>
    <w:rsid w:val="005971F6"/>
    <w:rsid w:val="005973BD"/>
    <w:rsid w:val="005A0015"/>
    <w:rsid w:val="005A1F8C"/>
    <w:rsid w:val="005A26CE"/>
    <w:rsid w:val="005A294D"/>
    <w:rsid w:val="005A2BC2"/>
    <w:rsid w:val="005A2CB3"/>
    <w:rsid w:val="005A4167"/>
    <w:rsid w:val="005A43D2"/>
    <w:rsid w:val="005A4D5D"/>
    <w:rsid w:val="005A5C99"/>
    <w:rsid w:val="005A6748"/>
    <w:rsid w:val="005A78FD"/>
    <w:rsid w:val="005A7921"/>
    <w:rsid w:val="005A7C6D"/>
    <w:rsid w:val="005B1E67"/>
    <w:rsid w:val="005B3442"/>
    <w:rsid w:val="005B3C9B"/>
    <w:rsid w:val="005B67DC"/>
    <w:rsid w:val="005B7AC2"/>
    <w:rsid w:val="005C0B34"/>
    <w:rsid w:val="005C218F"/>
    <w:rsid w:val="005C2578"/>
    <w:rsid w:val="005C3C4F"/>
    <w:rsid w:val="005C3F1F"/>
    <w:rsid w:val="005C4DC3"/>
    <w:rsid w:val="005C5C22"/>
    <w:rsid w:val="005C64BA"/>
    <w:rsid w:val="005C68B5"/>
    <w:rsid w:val="005C726A"/>
    <w:rsid w:val="005D03CB"/>
    <w:rsid w:val="005D0E01"/>
    <w:rsid w:val="005D0EC8"/>
    <w:rsid w:val="005D1537"/>
    <w:rsid w:val="005D4080"/>
    <w:rsid w:val="005D62CD"/>
    <w:rsid w:val="005D63C7"/>
    <w:rsid w:val="005D647B"/>
    <w:rsid w:val="005D6D1F"/>
    <w:rsid w:val="005D77D2"/>
    <w:rsid w:val="005D7DF8"/>
    <w:rsid w:val="005E0479"/>
    <w:rsid w:val="005E084C"/>
    <w:rsid w:val="005E0EF2"/>
    <w:rsid w:val="005E2496"/>
    <w:rsid w:val="005E293A"/>
    <w:rsid w:val="005E29DF"/>
    <w:rsid w:val="005E2AE0"/>
    <w:rsid w:val="005E3A61"/>
    <w:rsid w:val="005E3DEF"/>
    <w:rsid w:val="005E432B"/>
    <w:rsid w:val="005E44A1"/>
    <w:rsid w:val="005E617E"/>
    <w:rsid w:val="005E65BD"/>
    <w:rsid w:val="005E66AA"/>
    <w:rsid w:val="005E6F78"/>
    <w:rsid w:val="005F03C7"/>
    <w:rsid w:val="005F2D58"/>
    <w:rsid w:val="005F4171"/>
    <w:rsid w:val="005F57FC"/>
    <w:rsid w:val="005F625B"/>
    <w:rsid w:val="00601078"/>
    <w:rsid w:val="006014E3"/>
    <w:rsid w:val="0060150A"/>
    <w:rsid w:val="00601D28"/>
    <w:rsid w:val="00601D43"/>
    <w:rsid w:val="006020B7"/>
    <w:rsid w:val="00602C37"/>
    <w:rsid w:val="006032FC"/>
    <w:rsid w:val="00603824"/>
    <w:rsid w:val="00603E69"/>
    <w:rsid w:val="00604CB5"/>
    <w:rsid w:val="00604D7F"/>
    <w:rsid w:val="00604E83"/>
    <w:rsid w:val="00604F77"/>
    <w:rsid w:val="0060579F"/>
    <w:rsid w:val="00605925"/>
    <w:rsid w:val="00606B50"/>
    <w:rsid w:val="006070B1"/>
    <w:rsid w:val="00607E40"/>
    <w:rsid w:val="00610632"/>
    <w:rsid w:val="00610759"/>
    <w:rsid w:val="00611091"/>
    <w:rsid w:val="0061129D"/>
    <w:rsid w:val="0061147E"/>
    <w:rsid w:val="00612C9F"/>
    <w:rsid w:val="00612D85"/>
    <w:rsid w:val="00612EB0"/>
    <w:rsid w:val="006134D5"/>
    <w:rsid w:val="0061362F"/>
    <w:rsid w:val="006139F3"/>
    <w:rsid w:val="006140D1"/>
    <w:rsid w:val="006142CF"/>
    <w:rsid w:val="0061509B"/>
    <w:rsid w:val="00615A1C"/>
    <w:rsid w:val="00615B50"/>
    <w:rsid w:val="006170A9"/>
    <w:rsid w:val="00617391"/>
    <w:rsid w:val="0062014C"/>
    <w:rsid w:val="006213CE"/>
    <w:rsid w:val="006233B8"/>
    <w:rsid w:val="00627154"/>
    <w:rsid w:val="006273CF"/>
    <w:rsid w:val="00627653"/>
    <w:rsid w:val="006276CA"/>
    <w:rsid w:val="00627B90"/>
    <w:rsid w:val="006307D7"/>
    <w:rsid w:val="00631429"/>
    <w:rsid w:val="00631EA8"/>
    <w:rsid w:val="00633FD2"/>
    <w:rsid w:val="006341EA"/>
    <w:rsid w:val="00634227"/>
    <w:rsid w:val="00634B99"/>
    <w:rsid w:val="006356B4"/>
    <w:rsid w:val="00635712"/>
    <w:rsid w:val="00635764"/>
    <w:rsid w:val="00635978"/>
    <w:rsid w:val="00635A34"/>
    <w:rsid w:val="006373C7"/>
    <w:rsid w:val="006377FF"/>
    <w:rsid w:val="00637C46"/>
    <w:rsid w:val="00641593"/>
    <w:rsid w:val="006417CC"/>
    <w:rsid w:val="0064258F"/>
    <w:rsid w:val="00643968"/>
    <w:rsid w:val="006443D9"/>
    <w:rsid w:val="0064442C"/>
    <w:rsid w:val="00645566"/>
    <w:rsid w:val="00646C70"/>
    <w:rsid w:val="00647A27"/>
    <w:rsid w:val="00647CFD"/>
    <w:rsid w:val="006508CD"/>
    <w:rsid w:val="0065177C"/>
    <w:rsid w:val="006527B4"/>
    <w:rsid w:val="00655F14"/>
    <w:rsid w:val="006565AA"/>
    <w:rsid w:val="006572A4"/>
    <w:rsid w:val="00657466"/>
    <w:rsid w:val="00657955"/>
    <w:rsid w:val="00661F03"/>
    <w:rsid w:val="00661F7C"/>
    <w:rsid w:val="00662B47"/>
    <w:rsid w:val="00662BD0"/>
    <w:rsid w:val="0066360A"/>
    <w:rsid w:val="0066450E"/>
    <w:rsid w:val="0066462B"/>
    <w:rsid w:val="0066483A"/>
    <w:rsid w:val="00664C80"/>
    <w:rsid w:val="006654CB"/>
    <w:rsid w:val="00666147"/>
    <w:rsid w:val="00666224"/>
    <w:rsid w:val="00666AB9"/>
    <w:rsid w:val="00666DB8"/>
    <w:rsid w:val="00666EF4"/>
    <w:rsid w:val="00667655"/>
    <w:rsid w:val="00671092"/>
    <w:rsid w:val="006721EC"/>
    <w:rsid w:val="00672356"/>
    <w:rsid w:val="00672A42"/>
    <w:rsid w:val="00673352"/>
    <w:rsid w:val="00673936"/>
    <w:rsid w:val="00674E78"/>
    <w:rsid w:val="0067555D"/>
    <w:rsid w:val="00675AB5"/>
    <w:rsid w:val="00675FC5"/>
    <w:rsid w:val="0067643E"/>
    <w:rsid w:val="00676930"/>
    <w:rsid w:val="00676D17"/>
    <w:rsid w:val="00677278"/>
    <w:rsid w:val="006774B3"/>
    <w:rsid w:val="006800AF"/>
    <w:rsid w:val="00680B13"/>
    <w:rsid w:val="00680D5E"/>
    <w:rsid w:val="0068244E"/>
    <w:rsid w:val="00682C43"/>
    <w:rsid w:val="0068338D"/>
    <w:rsid w:val="0068347E"/>
    <w:rsid w:val="00683C65"/>
    <w:rsid w:val="006843FA"/>
    <w:rsid w:val="00684C24"/>
    <w:rsid w:val="00684EC2"/>
    <w:rsid w:val="00684F62"/>
    <w:rsid w:val="00685538"/>
    <w:rsid w:val="00685DF5"/>
    <w:rsid w:val="0068688D"/>
    <w:rsid w:val="0068783D"/>
    <w:rsid w:val="00687906"/>
    <w:rsid w:val="00687BB9"/>
    <w:rsid w:val="00690437"/>
    <w:rsid w:val="00690A06"/>
    <w:rsid w:val="006911AF"/>
    <w:rsid w:val="006923D6"/>
    <w:rsid w:val="00692822"/>
    <w:rsid w:val="00695133"/>
    <w:rsid w:val="00695464"/>
    <w:rsid w:val="00695680"/>
    <w:rsid w:val="0069578E"/>
    <w:rsid w:val="006961C4"/>
    <w:rsid w:val="00697512"/>
    <w:rsid w:val="00697F65"/>
    <w:rsid w:val="006A04DA"/>
    <w:rsid w:val="006A129C"/>
    <w:rsid w:val="006A134A"/>
    <w:rsid w:val="006A1975"/>
    <w:rsid w:val="006A1C30"/>
    <w:rsid w:val="006A2B56"/>
    <w:rsid w:val="006A2DA9"/>
    <w:rsid w:val="006A2EBD"/>
    <w:rsid w:val="006A32B3"/>
    <w:rsid w:val="006A38FC"/>
    <w:rsid w:val="006A4BD7"/>
    <w:rsid w:val="006A5E85"/>
    <w:rsid w:val="006A6070"/>
    <w:rsid w:val="006A67BA"/>
    <w:rsid w:val="006B0B35"/>
    <w:rsid w:val="006B0DAE"/>
    <w:rsid w:val="006B1BB2"/>
    <w:rsid w:val="006B2C4D"/>
    <w:rsid w:val="006B31D1"/>
    <w:rsid w:val="006B35FE"/>
    <w:rsid w:val="006B392D"/>
    <w:rsid w:val="006B4196"/>
    <w:rsid w:val="006B45BE"/>
    <w:rsid w:val="006B4A2E"/>
    <w:rsid w:val="006B4BD6"/>
    <w:rsid w:val="006B5DC8"/>
    <w:rsid w:val="006B5E46"/>
    <w:rsid w:val="006B632B"/>
    <w:rsid w:val="006B6853"/>
    <w:rsid w:val="006B6DC1"/>
    <w:rsid w:val="006B6F95"/>
    <w:rsid w:val="006B74C1"/>
    <w:rsid w:val="006C033A"/>
    <w:rsid w:val="006C04F8"/>
    <w:rsid w:val="006C0B1C"/>
    <w:rsid w:val="006C257B"/>
    <w:rsid w:val="006C2746"/>
    <w:rsid w:val="006C280F"/>
    <w:rsid w:val="006C3A55"/>
    <w:rsid w:val="006C41C4"/>
    <w:rsid w:val="006C46BF"/>
    <w:rsid w:val="006C53AE"/>
    <w:rsid w:val="006C54A0"/>
    <w:rsid w:val="006C7B23"/>
    <w:rsid w:val="006D022E"/>
    <w:rsid w:val="006D0964"/>
    <w:rsid w:val="006D0ECD"/>
    <w:rsid w:val="006D1C4F"/>
    <w:rsid w:val="006D264A"/>
    <w:rsid w:val="006D3002"/>
    <w:rsid w:val="006D3276"/>
    <w:rsid w:val="006D425A"/>
    <w:rsid w:val="006D43ED"/>
    <w:rsid w:val="006D4F01"/>
    <w:rsid w:val="006D52C5"/>
    <w:rsid w:val="006D5A8E"/>
    <w:rsid w:val="006D5C0D"/>
    <w:rsid w:val="006D71F3"/>
    <w:rsid w:val="006D7B46"/>
    <w:rsid w:val="006E0C63"/>
    <w:rsid w:val="006E15C8"/>
    <w:rsid w:val="006E196A"/>
    <w:rsid w:val="006E1A2E"/>
    <w:rsid w:val="006E24CE"/>
    <w:rsid w:val="006E32FA"/>
    <w:rsid w:val="006E395D"/>
    <w:rsid w:val="006E42EC"/>
    <w:rsid w:val="006E4CC0"/>
    <w:rsid w:val="006E519E"/>
    <w:rsid w:val="006E61F2"/>
    <w:rsid w:val="006E6926"/>
    <w:rsid w:val="006E6D8B"/>
    <w:rsid w:val="006E7799"/>
    <w:rsid w:val="006F099C"/>
    <w:rsid w:val="006F0CE8"/>
    <w:rsid w:val="006F0FE8"/>
    <w:rsid w:val="006F1923"/>
    <w:rsid w:val="006F22D3"/>
    <w:rsid w:val="006F25D7"/>
    <w:rsid w:val="006F40E0"/>
    <w:rsid w:val="006F55B0"/>
    <w:rsid w:val="006F57CC"/>
    <w:rsid w:val="006F5ADA"/>
    <w:rsid w:val="00700066"/>
    <w:rsid w:val="0070147A"/>
    <w:rsid w:val="007020FD"/>
    <w:rsid w:val="00702119"/>
    <w:rsid w:val="00702715"/>
    <w:rsid w:val="007029CC"/>
    <w:rsid w:val="00703766"/>
    <w:rsid w:val="00703808"/>
    <w:rsid w:val="00704508"/>
    <w:rsid w:val="00704BDA"/>
    <w:rsid w:val="00705608"/>
    <w:rsid w:val="00705C2E"/>
    <w:rsid w:val="007060BE"/>
    <w:rsid w:val="007064B2"/>
    <w:rsid w:val="0070672E"/>
    <w:rsid w:val="00706A7C"/>
    <w:rsid w:val="007100F7"/>
    <w:rsid w:val="00711774"/>
    <w:rsid w:val="00711C88"/>
    <w:rsid w:val="00711F51"/>
    <w:rsid w:val="00712188"/>
    <w:rsid w:val="00712BED"/>
    <w:rsid w:val="00713976"/>
    <w:rsid w:val="00713B8F"/>
    <w:rsid w:val="00714281"/>
    <w:rsid w:val="007143BD"/>
    <w:rsid w:val="00714858"/>
    <w:rsid w:val="007151E3"/>
    <w:rsid w:val="00716669"/>
    <w:rsid w:val="00717174"/>
    <w:rsid w:val="0071740E"/>
    <w:rsid w:val="00720C07"/>
    <w:rsid w:val="007210DD"/>
    <w:rsid w:val="007211BA"/>
    <w:rsid w:val="00721509"/>
    <w:rsid w:val="00721E36"/>
    <w:rsid w:val="007226BE"/>
    <w:rsid w:val="00722EC0"/>
    <w:rsid w:val="007237B3"/>
    <w:rsid w:val="00723A6F"/>
    <w:rsid w:val="00724098"/>
    <w:rsid w:val="007247FA"/>
    <w:rsid w:val="007249FA"/>
    <w:rsid w:val="007261FA"/>
    <w:rsid w:val="007267E0"/>
    <w:rsid w:val="0072777D"/>
    <w:rsid w:val="00727BAA"/>
    <w:rsid w:val="00727BD5"/>
    <w:rsid w:val="00730E06"/>
    <w:rsid w:val="007318B1"/>
    <w:rsid w:val="007328A7"/>
    <w:rsid w:val="00732FD7"/>
    <w:rsid w:val="0073325C"/>
    <w:rsid w:val="00734176"/>
    <w:rsid w:val="0073467B"/>
    <w:rsid w:val="0073677A"/>
    <w:rsid w:val="00737B46"/>
    <w:rsid w:val="00737EDA"/>
    <w:rsid w:val="00737F49"/>
    <w:rsid w:val="00740467"/>
    <w:rsid w:val="007407CB"/>
    <w:rsid w:val="00740955"/>
    <w:rsid w:val="0074128F"/>
    <w:rsid w:val="00741A22"/>
    <w:rsid w:val="00742F09"/>
    <w:rsid w:val="0074346B"/>
    <w:rsid w:val="00743762"/>
    <w:rsid w:val="00743EB0"/>
    <w:rsid w:val="00744CA6"/>
    <w:rsid w:val="00745B6C"/>
    <w:rsid w:val="00745C49"/>
    <w:rsid w:val="00745F82"/>
    <w:rsid w:val="007462EC"/>
    <w:rsid w:val="007473B5"/>
    <w:rsid w:val="00747580"/>
    <w:rsid w:val="00747E84"/>
    <w:rsid w:val="00751992"/>
    <w:rsid w:val="0075225D"/>
    <w:rsid w:val="00753B36"/>
    <w:rsid w:val="0075481B"/>
    <w:rsid w:val="00755E78"/>
    <w:rsid w:val="00757A02"/>
    <w:rsid w:val="00757DDB"/>
    <w:rsid w:val="00757FD7"/>
    <w:rsid w:val="00760506"/>
    <w:rsid w:val="00761272"/>
    <w:rsid w:val="0076145B"/>
    <w:rsid w:val="0076199E"/>
    <w:rsid w:val="00761EE0"/>
    <w:rsid w:val="00762785"/>
    <w:rsid w:val="0076281A"/>
    <w:rsid w:val="00762CAD"/>
    <w:rsid w:val="007651C8"/>
    <w:rsid w:val="007654CE"/>
    <w:rsid w:val="00766486"/>
    <w:rsid w:val="00766B06"/>
    <w:rsid w:val="007674E0"/>
    <w:rsid w:val="00767C86"/>
    <w:rsid w:val="007700E2"/>
    <w:rsid w:val="00771005"/>
    <w:rsid w:val="0077225D"/>
    <w:rsid w:val="00772E2C"/>
    <w:rsid w:val="007731D9"/>
    <w:rsid w:val="0077383C"/>
    <w:rsid w:val="00773F47"/>
    <w:rsid w:val="00776167"/>
    <w:rsid w:val="00776700"/>
    <w:rsid w:val="007770B9"/>
    <w:rsid w:val="00777F27"/>
    <w:rsid w:val="00782004"/>
    <w:rsid w:val="00782636"/>
    <w:rsid w:val="00782E31"/>
    <w:rsid w:val="00782F3C"/>
    <w:rsid w:val="0078340C"/>
    <w:rsid w:val="00784C08"/>
    <w:rsid w:val="007859F0"/>
    <w:rsid w:val="00785FE1"/>
    <w:rsid w:val="00786575"/>
    <w:rsid w:val="00786A07"/>
    <w:rsid w:val="007877EC"/>
    <w:rsid w:val="00787999"/>
    <w:rsid w:val="007901BE"/>
    <w:rsid w:val="00790355"/>
    <w:rsid w:val="00790D3C"/>
    <w:rsid w:val="00791AAA"/>
    <w:rsid w:val="0079249B"/>
    <w:rsid w:val="00792EE2"/>
    <w:rsid w:val="00792F1C"/>
    <w:rsid w:val="00793113"/>
    <w:rsid w:val="0079324F"/>
    <w:rsid w:val="007934E1"/>
    <w:rsid w:val="007937C1"/>
    <w:rsid w:val="00794392"/>
    <w:rsid w:val="00794AED"/>
    <w:rsid w:val="00794AF2"/>
    <w:rsid w:val="00794CB6"/>
    <w:rsid w:val="0079557A"/>
    <w:rsid w:val="00797332"/>
    <w:rsid w:val="007A055B"/>
    <w:rsid w:val="007A0C45"/>
    <w:rsid w:val="007A10F3"/>
    <w:rsid w:val="007A16A9"/>
    <w:rsid w:val="007A1D8A"/>
    <w:rsid w:val="007A2B34"/>
    <w:rsid w:val="007A3FF8"/>
    <w:rsid w:val="007A4630"/>
    <w:rsid w:val="007A4AE1"/>
    <w:rsid w:val="007A54C3"/>
    <w:rsid w:val="007A5791"/>
    <w:rsid w:val="007A6BDF"/>
    <w:rsid w:val="007A72B4"/>
    <w:rsid w:val="007A7393"/>
    <w:rsid w:val="007A75EB"/>
    <w:rsid w:val="007A7821"/>
    <w:rsid w:val="007A7A47"/>
    <w:rsid w:val="007B0383"/>
    <w:rsid w:val="007B1075"/>
    <w:rsid w:val="007B1153"/>
    <w:rsid w:val="007B28C5"/>
    <w:rsid w:val="007B4B14"/>
    <w:rsid w:val="007B4DD6"/>
    <w:rsid w:val="007B5C86"/>
    <w:rsid w:val="007B5E6A"/>
    <w:rsid w:val="007B634F"/>
    <w:rsid w:val="007B6734"/>
    <w:rsid w:val="007B6F13"/>
    <w:rsid w:val="007B705F"/>
    <w:rsid w:val="007C0D1A"/>
    <w:rsid w:val="007C0F32"/>
    <w:rsid w:val="007C1B0F"/>
    <w:rsid w:val="007C1F72"/>
    <w:rsid w:val="007C28CD"/>
    <w:rsid w:val="007C34E3"/>
    <w:rsid w:val="007C353F"/>
    <w:rsid w:val="007C42D8"/>
    <w:rsid w:val="007C4A7F"/>
    <w:rsid w:val="007C5153"/>
    <w:rsid w:val="007C5335"/>
    <w:rsid w:val="007C5813"/>
    <w:rsid w:val="007C5CDA"/>
    <w:rsid w:val="007C688A"/>
    <w:rsid w:val="007C6AD4"/>
    <w:rsid w:val="007C7D4A"/>
    <w:rsid w:val="007D03DE"/>
    <w:rsid w:val="007D061B"/>
    <w:rsid w:val="007D0906"/>
    <w:rsid w:val="007D1378"/>
    <w:rsid w:val="007D171B"/>
    <w:rsid w:val="007D21F3"/>
    <w:rsid w:val="007D2AC4"/>
    <w:rsid w:val="007D2B0E"/>
    <w:rsid w:val="007D2F41"/>
    <w:rsid w:val="007D36F0"/>
    <w:rsid w:val="007D4007"/>
    <w:rsid w:val="007D415F"/>
    <w:rsid w:val="007D46C2"/>
    <w:rsid w:val="007D4DAA"/>
    <w:rsid w:val="007D5A55"/>
    <w:rsid w:val="007D5B1D"/>
    <w:rsid w:val="007D647F"/>
    <w:rsid w:val="007E0088"/>
    <w:rsid w:val="007E0ADB"/>
    <w:rsid w:val="007E172F"/>
    <w:rsid w:val="007E1767"/>
    <w:rsid w:val="007E224A"/>
    <w:rsid w:val="007E2ACD"/>
    <w:rsid w:val="007E3BD1"/>
    <w:rsid w:val="007E4028"/>
    <w:rsid w:val="007E4A28"/>
    <w:rsid w:val="007E4D12"/>
    <w:rsid w:val="007E53DD"/>
    <w:rsid w:val="007E5A5A"/>
    <w:rsid w:val="007E5CC6"/>
    <w:rsid w:val="007E638D"/>
    <w:rsid w:val="007E67E8"/>
    <w:rsid w:val="007F0745"/>
    <w:rsid w:val="007F1D01"/>
    <w:rsid w:val="007F20EE"/>
    <w:rsid w:val="007F2FB7"/>
    <w:rsid w:val="007F5A02"/>
    <w:rsid w:val="007F6498"/>
    <w:rsid w:val="007F6C6A"/>
    <w:rsid w:val="007F708D"/>
    <w:rsid w:val="008009A0"/>
    <w:rsid w:val="00800C59"/>
    <w:rsid w:val="00800DFF"/>
    <w:rsid w:val="0080296D"/>
    <w:rsid w:val="00802FD7"/>
    <w:rsid w:val="008030FD"/>
    <w:rsid w:val="00803519"/>
    <w:rsid w:val="008044DD"/>
    <w:rsid w:val="00804D88"/>
    <w:rsid w:val="00805190"/>
    <w:rsid w:val="00807078"/>
    <w:rsid w:val="00810CD6"/>
    <w:rsid w:val="00811720"/>
    <w:rsid w:val="008120DD"/>
    <w:rsid w:val="008123CC"/>
    <w:rsid w:val="00814D30"/>
    <w:rsid w:val="00814F54"/>
    <w:rsid w:val="00815A0B"/>
    <w:rsid w:val="00816A79"/>
    <w:rsid w:val="00816BC0"/>
    <w:rsid w:val="008201F3"/>
    <w:rsid w:val="0082101C"/>
    <w:rsid w:val="00821903"/>
    <w:rsid w:val="00821FB8"/>
    <w:rsid w:val="00822911"/>
    <w:rsid w:val="00822F9A"/>
    <w:rsid w:val="008241F4"/>
    <w:rsid w:val="00824426"/>
    <w:rsid w:val="00824790"/>
    <w:rsid w:val="008247B6"/>
    <w:rsid w:val="008248CE"/>
    <w:rsid w:val="008258C0"/>
    <w:rsid w:val="00825A5E"/>
    <w:rsid w:val="0082680D"/>
    <w:rsid w:val="00827FE5"/>
    <w:rsid w:val="00831602"/>
    <w:rsid w:val="00831730"/>
    <w:rsid w:val="00832165"/>
    <w:rsid w:val="00833B84"/>
    <w:rsid w:val="00833DC9"/>
    <w:rsid w:val="00833E70"/>
    <w:rsid w:val="00834B96"/>
    <w:rsid w:val="00834CD6"/>
    <w:rsid w:val="00835BFB"/>
    <w:rsid w:val="00835C05"/>
    <w:rsid w:val="008363A5"/>
    <w:rsid w:val="00836599"/>
    <w:rsid w:val="008369B5"/>
    <w:rsid w:val="00836EB3"/>
    <w:rsid w:val="00836EC5"/>
    <w:rsid w:val="0083711A"/>
    <w:rsid w:val="00840344"/>
    <w:rsid w:val="00840347"/>
    <w:rsid w:val="008426A1"/>
    <w:rsid w:val="00842D08"/>
    <w:rsid w:val="008432DF"/>
    <w:rsid w:val="008444FF"/>
    <w:rsid w:val="008467EE"/>
    <w:rsid w:val="00847603"/>
    <w:rsid w:val="008478DE"/>
    <w:rsid w:val="00850098"/>
    <w:rsid w:val="008503C3"/>
    <w:rsid w:val="00850D44"/>
    <w:rsid w:val="00852C3D"/>
    <w:rsid w:val="00852F50"/>
    <w:rsid w:val="0085409D"/>
    <w:rsid w:val="00854977"/>
    <w:rsid w:val="00855EB9"/>
    <w:rsid w:val="00856298"/>
    <w:rsid w:val="0085698A"/>
    <w:rsid w:val="008579E2"/>
    <w:rsid w:val="00857E80"/>
    <w:rsid w:val="0086025E"/>
    <w:rsid w:val="00860879"/>
    <w:rsid w:val="00861851"/>
    <w:rsid w:val="00862443"/>
    <w:rsid w:val="00862C5F"/>
    <w:rsid w:val="00862D0A"/>
    <w:rsid w:val="00863005"/>
    <w:rsid w:val="00864B0B"/>
    <w:rsid w:val="0086536B"/>
    <w:rsid w:val="008657C0"/>
    <w:rsid w:val="00866D78"/>
    <w:rsid w:val="008676BE"/>
    <w:rsid w:val="00870551"/>
    <w:rsid w:val="00870F50"/>
    <w:rsid w:val="0087201C"/>
    <w:rsid w:val="00872737"/>
    <w:rsid w:val="00872C2C"/>
    <w:rsid w:val="00873AB0"/>
    <w:rsid w:val="008740D9"/>
    <w:rsid w:val="008741BD"/>
    <w:rsid w:val="00874455"/>
    <w:rsid w:val="00874948"/>
    <w:rsid w:val="0087504E"/>
    <w:rsid w:val="00875069"/>
    <w:rsid w:val="00876524"/>
    <w:rsid w:val="00876852"/>
    <w:rsid w:val="00876ACB"/>
    <w:rsid w:val="00876BB4"/>
    <w:rsid w:val="00876EBD"/>
    <w:rsid w:val="00877664"/>
    <w:rsid w:val="00880D64"/>
    <w:rsid w:val="00881B7B"/>
    <w:rsid w:val="008829C4"/>
    <w:rsid w:val="008834A5"/>
    <w:rsid w:val="00883BBB"/>
    <w:rsid w:val="00883E16"/>
    <w:rsid w:val="00884F43"/>
    <w:rsid w:val="00884F8A"/>
    <w:rsid w:val="00885C37"/>
    <w:rsid w:val="00886C5A"/>
    <w:rsid w:val="00887CB0"/>
    <w:rsid w:val="00890E59"/>
    <w:rsid w:val="008910A7"/>
    <w:rsid w:val="00891C0D"/>
    <w:rsid w:val="00892C12"/>
    <w:rsid w:val="00892E1F"/>
    <w:rsid w:val="00893413"/>
    <w:rsid w:val="00893C63"/>
    <w:rsid w:val="00893F8C"/>
    <w:rsid w:val="008947C3"/>
    <w:rsid w:val="0089492B"/>
    <w:rsid w:val="00894E67"/>
    <w:rsid w:val="00895134"/>
    <w:rsid w:val="00895F2E"/>
    <w:rsid w:val="008964F1"/>
    <w:rsid w:val="00896CE4"/>
    <w:rsid w:val="00896DE8"/>
    <w:rsid w:val="008A0082"/>
    <w:rsid w:val="008A0FAB"/>
    <w:rsid w:val="008A204E"/>
    <w:rsid w:val="008A2806"/>
    <w:rsid w:val="008A2F00"/>
    <w:rsid w:val="008A412A"/>
    <w:rsid w:val="008A43E6"/>
    <w:rsid w:val="008A4703"/>
    <w:rsid w:val="008A4C34"/>
    <w:rsid w:val="008A5143"/>
    <w:rsid w:val="008A60F9"/>
    <w:rsid w:val="008A62DB"/>
    <w:rsid w:val="008A6FA0"/>
    <w:rsid w:val="008A7D21"/>
    <w:rsid w:val="008B01FF"/>
    <w:rsid w:val="008B0AB3"/>
    <w:rsid w:val="008B17EB"/>
    <w:rsid w:val="008B20F4"/>
    <w:rsid w:val="008B235D"/>
    <w:rsid w:val="008B2D42"/>
    <w:rsid w:val="008B305D"/>
    <w:rsid w:val="008B3075"/>
    <w:rsid w:val="008B3D08"/>
    <w:rsid w:val="008B568C"/>
    <w:rsid w:val="008B69BA"/>
    <w:rsid w:val="008B6B01"/>
    <w:rsid w:val="008B79AF"/>
    <w:rsid w:val="008C0317"/>
    <w:rsid w:val="008C1315"/>
    <w:rsid w:val="008C28AF"/>
    <w:rsid w:val="008C3E67"/>
    <w:rsid w:val="008C54ED"/>
    <w:rsid w:val="008C55F8"/>
    <w:rsid w:val="008C5623"/>
    <w:rsid w:val="008C6D1B"/>
    <w:rsid w:val="008C6D9B"/>
    <w:rsid w:val="008C72C7"/>
    <w:rsid w:val="008C74BF"/>
    <w:rsid w:val="008C79C9"/>
    <w:rsid w:val="008C7D50"/>
    <w:rsid w:val="008D031C"/>
    <w:rsid w:val="008D0CAE"/>
    <w:rsid w:val="008D0CCD"/>
    <w:rsid w:val="008D1818"/>
    <w:rsid w:val="008D1B6C"/>
    <w:rsid w:val="008D23AD"/>
    <w:rsid w:val="008D2492"/>
    <w:rsid w:val="008D2771"/>
    <w:rsid w:val="008D2DCA"/>
    <w:rsid w:val="008D3531"/>
    <w:rsid w:val="008D35EE"/>
    <w:rsid w:val="008D3D86"/>
    <w:rsid w:val="008D4B99"/>
    <w:rsid w:val="008D622F"/>
    <w:rsid w:val="008D62D9"/>
    <w:rsid w:val="008D6BEB"/>
    <w:rsid w:val="008D6FBB"/>
    <w:rsid w:val="008D77D3"/>
    <w:rsid w:val="008E09FB"/>
    <w:rsid w:val="008E22EE"/>
    <w:rsid w:val="008E2564"/>
    <w:rsid w:val="008E28C8"/>
    <w:rsid w:val="008E2B14"/>
    <w:rsid w:val="008E2CFF"/>
    <w:rsid w:val="008E3E1A"/>
    <w:rsid w:val="008E49FC"/>
    <w:rsid w:val="008E4F5C"/>
    <w:rsid w:val="008E553F"/>
    <w:rsid w:val="008E5CE5"/>
    <w:rsid w:val="008E7BCB"/>
    <w:rsid w:val="008F10CF"/>
    <w:rsid w:val="008F18A7"/>
    <w:rsid w:val="008F23AC"/>
    <w:rsid w:val="008F2709"/>
    <w:rsid w:val="008F33F6"/>
    <w:rsid w:val="008F39A6"/>
    <w:rsid w:val="008F3AD3"/>
    <w:rsid w:val="008F542A"/>
    <w:rsid w:val="008F6E5C"/>
    <w:rsid w:val="008F6F3E"/>
    <w:rsid w:val="008F7AE7"/>
    <w:rsid w:val="00901689"/>
    <w:rsid w:val="009018C0"/>
    <w:rsid w:val="00903FC1"/>
    <w:rsid w:val="00906390"/>
    <w:rsid w:val="00906969"/>
    <w:rsid w:val="00907E52"/>
    <w:rsid w:val="00907F50"/>
    <w:rsid w:val="00912427"/>
    <w:rsid w:val="00912A31"/>
    <w:rsid w:val="00912AC3"/>
    <w:rsid w:val="0091311D"/>
    <w:rsid w:val="00913230"/>
    <w:rsid w:val="009141BF"/>
    <w:rsid w:val="009141CE"/>
    <w:rsid w:val="00914C0A"/>
    <w:rsid w:val="00915822"/>
    <w:rsid w:val="00915C45"/>
    <w:rsid w:val="009169F7"/>
    <w:rsid w:val="00917884"/>
    <w:rsid w:val="009223FC"/>
    <w:rsid w:val="0092271F"/>
    <w:rsid w:val="009228FA"/>
    <w:rsid w:val="00922C49"/>
    <w:rsid w:val="00923312"/>
    <w:rsid w:val="00923B85"/>
    <w:rsid w:val="00924B33"/>
    <w:rsid w:val="00924FAB"/>
    <w:rsid w:val="00925168"/>
    <w:rsid w:val="0092589C"/>
    <w:rsid w:val="00925D48"/>
    <w:rsid w:val="009273D7"/>
    <w:rsid w:val="00927A1A"/>
    <w:rsid w:val="00930134"/>
    <w:rsid w:val="00930906"/>
    <w:rsid w:val="00930940"/>
    <w:rsid w:val="00930C21"/>
    <w:rsid w:val="00930D7B"/>
    <w:rsid w:val="0093376D"/>
    <w:rsid w:val="00933E6C"/>
    <w:rsid w:val="009342BB"/>
    <w:rsid w:val="00936263"/>
    <w:rsid w:val="00941EA8"/>
    <w:rsid w:val="00942756"/>
    <w:rsid w:val="00942B08"/>
    <w:rsid w:val="0094328A"/>
    <w:rsid w:val="009441EF"/>
    <w:rsid w:val="009443BE"/>
    <w:rsid w:val="00944ED2"/>
    <w:rsid w:val="00946C5B"/>
    <w:rsid w:val="00947157"/>
    <w:rsid w:val="00947B74"/>
    <w:rsid w:val="00947EAC"/>
    <w:rsid w:val="00950383"/>
    <w:rsid w:val="00952037"/>
    <w:rsid w:val="0095219D"/>
    <w:rsid w:val="00953414"/>
    <w:rsid w:val="00956D3F"/>
    <w:rsid w:val="009604C7"/>
    <w:rsid w:val="009616C2"/>
    <w:rsid w:val="00961A67"/>
    <w:rsid w:val="009638D5"/>
    <w:rsid w:val="009640DC"/>
    <w:rsid w:val="00964463"/>
    <w:rsid w:val="00964498"/>
    <w:rsid w:val="00964752"/>
    <w:rsid w:val="00964A01"/>
    <w:rsid w:val="00965112"/>
    <w:rsid w:val="00965615"/>
    <w:rsid w:val="0096659A"/>
    <w:rsid w:val="00971F12"/>
    <w:rsid w:val="0097231B"/>
    <w:rsid w:val="009733E7"/>
    <w:rsid w:val="00974146"/>
    <w:rsid w:val="0097442B"/>
    <w:rsid w:val="009750AE"/>
    <w:rsid w:val="00975FA8"/>
    <w:rsid w:val="009764F9"/>
    <w:rsid w:val="009765B2"/>
    <w:rsid w:val="0097679F"/>
    <w:rsid w:val="009805CB"/>
    <w:rsid w:val="009809CB"/>
    <w:rsid w:val="0098157E"/>
    <w:rsid w:val="009828EF"/>
    <w:rsid w:val="00982E76"/>
    <w:rsid w:val="00982FBD"/>
    <w:rsid w:val="0098365E"/>
    <w:rsid w:val="00983C7A"/>
    <w:rsid w:val="009844FC"/>
    <w:rsid w:val="00984E8D"/>
    <w:rsid w:val="009850BF"/>
    <w:rsid w:val="009853C2"/>
    <w:rsid w:val="00986F52"/>
    <w:rsid w:val="0099004D"/>
    <w:rsid w:val="009902FE"/>
    <w:rsid w:val="00990F1F"/>
    <w:rsid w:val="00991403"/>
    <w:rsid w:val="009915EA"/>
    <w:rsid w:val="00991E3F"/>
    <w:rsid w:val="009926D6"/>
    <w:rsid w:val="00993507"/>
    <w:rsid w:val="009938ED"/>
    <w:rsid w:val="009938F1"/>
    <w:rsid w:val="009939CB"/>
    <w:rsid w:val="0099462E"/>
    <w:rsid w:val="009946FD"/>
    <w:rsid w:val="00994A87"/>
    <w:rsid w:val="0099578F"/>
    <w:rsid w:val="0099587A"/>
    <w:rsid w:val="00995F6D"/>
    <w:rsid w:val="00997295"/>
    <w:rsid w:val="00997ED2"/>
    <w:rsid w:val="009A0AF1"/>
    <w:rsid w:val="009A13C9"/>
    <w:rsid w:val="009A28DE"/>
    <w:rsid w:val="009A2A85"/>
    <w:rsid w:val="009A3760"/>
    <w:rsid w:val="009A388B"/>
    <w:rsid w:val="009A40AD"/>
    <w:rsid w:val="009A4FF3"/>
    <w:rsid w:val="009A6670"/>
    <w:rsid w:val="009A6A82"/>
    <w:rsid w:val="009A6E12"/>
    <w:rsid w:val="009A714C"/>
    <w:rsid w:val="009A7506"/>
    <w:rsid w:val="009A7682"/>
    <w:rsid w:val="009B2514"/>
    <w:rsid w:val="009B2E70"/>
    <w:rsid w:val="009B4321"/>
    <w:rsid w:val="009B4B9C"/>
    <w:rsid w:val="009B5EF8"/>
    <w:rsid w:val="009B7606"/>
    <w:rsid w:val="009B7B50"/>
    <w:rsid w:val="009B7F12"/>
    <w:rsid w:val="009C092E"/>
    <w:rsid w:val="009C1AAD"/>
    <w:rsid w:val="009C2B5F"/>
    <w:rsid w:val="009C3C4E"/>
    <w:rsid w:val="009C4261"/>
    <w:rsid w:val="009C4D27"/>
    <w:rsid w:val="009C5A84"/>
    <w:rsid w:val="009C5DF8"/>
    <w:rsid w:val="009C6180"/>
    <w:rsid w:val="009C765F"/>
    <w:rsid w:val="009C7C12"/>
    <w:rsid w:val="009D03B3"/>
    <w:rsid w:val="009D0C17"/>
    <w:rsid w:val="009D1CD5"/>
    <w:rsid w:val="009D3BE0"/>
    <w:rsid w:val="009D40CC"/>
    <w:rsid w:val="009D4842"/>
    <w:rsid w:val="009D5EDC"/>
    <w:rsid w:val="009D6364"/>
    <w:rsid w:val="009D6879"/>
    <w:rsid w:val="009D6C02"/>
    <w:rsid w:val="009D6EE6"/>
    <w:rsid w:val="009D6F23"/>
    <w:rsid w:val="009D71BE"/>
    <w:rsid w:val="009D782F"/>
    <w:rsid w:val="009D7A73"/>
    <w:rsid w:val="009D7F11"/>
    <w:rsid w:val="009E1C17"/>
    <w:rsid w:val="009E1FAC"/>
    <w:rsid w:val="009E2DD6"/>
    <w:rsid w:val="009E3973"/>
    <w:rsid w:val="009E3C72"/>
    <w:rsid w:val="009E3D3F"/>
    <w:rsid w:val="009E4857"/>
    <w:rsid w:val="009E57ED"/>
    <w:rsid w:val="009F0880"/>
    <w:rsid w:val="009F21A0"/>
    <w:rsid w:val="009F2852"/>
    <w:rsid w:val="009F2AEE"/>
    <w:rsid w:val="009F2E6E"/>
    <w:rsid w:val="009F30C6"/>
    <w:rsid w:val="009F4269"/>
    <w:rsid w:val="009F45E4"/>
    <w:rsid w:val="009F5D48"/>
    <w:rsid w:val="009F5EBA"/>
    <w:rsid w:val="009F6D78"/>
    <w:rsid w:val="009F7F1D"/>
    <w:rsid w:val="00A00579"/>
    <w:rsid w:val="00A01035"/>
    <w:rsid w:val="00A017B9"/>
    <w:rsid w:val="00A01F43"/>
    <w:rsid w:val="00A023FE"/>
    <w:rsid w:val="00A024CC"/>
    <w:rsid w:val="00A036D9"/>
    <w:rsid w:val="00A036E6"/>
    <w:rsid w:val="00A04454"/>
    <w:rsid w:val="00A04B6B"/>
    <w:rsid w:val="00A05062"/>
    <w:rsid w:val="00A06233"/>
    <w:rsid w:val="00A064FC"/>
    <w:rsid w:val="00A0711E"/>
    <w:rsid w:val="00A072CE"/>
    <w:rsid w:val="00A0795D"/>
    <w:rsid w:val="00A1145B"/>
    <w:rsid w:val="00A11DAD"/>
    <w:rsid w:val="00A11E91"/>
    <w:rsid w:val="00A11F46"/>
    <w:rsid w:val="00A12292"/>
    <w:rsid w:val="00A12484"/>
    <w:rsid w:val="00A127A7"/>
    <w:rsid w:val="00A12D40"/>
    <w:rsid w:val="00A13865"/>
    <w:rsid w:val="00A14F05"/>
    <w:rsid w:val="00A158BB"/>
    <w:rsid w:val="00A166EC"/>
    <w:rsid w:val="00A16DC3"/>
    <w:rsid w:val="00A17A33"/>
    <w:rsid w:val="00A2140D"/>
    <w:rsid w:val="00A23321"/>
    <w:rsid w:val="00A2344E"/>
    <w:rsid w:val="00A24030"/>
    <w:rsid w:val="00A240AA"/>
    <w:rsid w:val="00A24F55"/>
    <w:rsid w:val="00A24F9F"/>
    <w:rsid w:val="00A255D1"/>
    <w:rsid w:val="00A26AFF"/>
    <w:rsid w:val="00A277AD"/>
    <w:rsid w:val="00A279C2"/>
    <w:rsid w:val="00A27CDD"/>
    <w:rsid w:val="00A27CEF"/>
    <w:rsid w:val="00A302DF"/>
    <w:rsid w:val="00A30A4F"/>
    <w:rsid w:val="00A30C02"/>
    <w:rsid w:val="00A31314"/>
    <w:rsid w:val="00A32128"/>
    <w:rsid w:val="00A3239F"/>
    <w:rsid w:val="00A32732"/>
    <w:rsid w:val="00A346E1"/>
    <w:rsid w:val="00A357B9"/>
    <w:rsid w:val="00A36BD3"/>
    <w:rsid w:val="00A3762F"/>
    <w:rsid w:val="00A37827"/>
    <w:rsid w:val="00A37837"/>
    <w:rsid w:val="00A378ED"/>
    <w:rsid w:val="00A40574"/>
    <w:rsid w:val="00A41D9C"/>
    <w:rsid w:val="00A426A5"/>
    <w:rsid w:val="00A42BA7"/>
    <w:rsid w:val="00A43789"/>
    <w:rsid w:val="00A439A9"/>
    <w:rsid w:val="00A4424A"/>
    <w:rsid w:val="00A443C1"/>
    <w:rsid w:val="00A44D50"/>
    <w:rsid w:val="00A4767D"/>
    <w:rsid w:val="00A500A4"/>
    <w:rsid w:val="00A505D7"/>
    <w:rsid w:val="00A511BD"/>
    <w:rsid w:val="00A51540"/>
    <w:rsid w:val="00A51C55"/>
    <w:rsid w:val="00A5238F"/>
    <w:rsid w:val="00A52745"/>
    <w:rsid w:val="00A535E1"/>
    <w:rsid w:val="00A53F57"/>
    <w:rsid w:val="00A547A4"/>
    <w:rsid w:val="00A553FB"/>
    <w:rsid w:val="00A5577F"/>
    <w:rsid w:val="00A55F73"/>
    <w:rsid w:val="00A5690F"/>
    <w:rsid w:val="00A57128"/>
    <w:rsid w:val="00A571DE"/>
    <w:rsid w:val="00A57609"/>
    <w:rsid w:val="00A62435"/>
    <w:rsid w:val="00A62655"/>
    <w:rsid w:val="00A62861"/>
    <w:rsid w:val="00A629A7"/>
    <w:rsid w:val="00A62F3A"/>
    <w:rsid w:val="00A62F4D"/>
    <w:rsid w:val="00A633F4"/>
    <w:rsid w:val="00A639F3"/>
    <w:rsid w:val="00A70B05"/>
    <w:rsid w:val="00A70C83"/>
    <w:rsid w:val="00A70F8E"/>
    <w:rsid w:val="00A711AF"/>
    <w:rsid w:val="00A71612"/>
    <w:rsid w:val="00A716EA"/>
    <w:rsid w:val="00A71D03"/>
    <w:rsid w:val="00A71DFD"/>
    <w:rsid w:val="00A745B9"/>
    <w:rsid w:val="00A74682"/>
    <w:rsid w:val="00A76AB2"/>
    <w:rsid w:val="00A772CA"/>
    <w:rsid w:val="00A77613"/>
    <w:rsid w:val="00A77CF5"/>
    <w:rsid w:val="00A77CF7"/>
    <w:rsid w:val="00A81EF1"/>
    <w:rsid w:val="00A81F9E"/>
    <w:rsid w:val="00A83566"/>
    <w:rsid w:val="00A86CFC"/>
    <w:rsid w:val="00A87120"/>
    <w:rsid w:val="00A87251"/>
    <w:rsid w:val="00A8727D"/>
    <w:rsid w:val="00A876D8"/>
    <w:rsid w:val="00A87C04"/>
    <w:rsid w:val="00A9370E"/>
    <w:rsid w:val="00A9528C"/>
    <w:rsid w:val="00A956D1"/>
    <w:rsid w:val="00A9582A"/>
    <w:rsid w:val="00A95AD8"/>
    <w:rsid w:val="00A96C24"/>
    <w:rsid w:val="00A96FA5"/>
    <w:rsid w:val="00A979BD"/>
    <w:rsid w:val="00A97A73"/>
    <w:rsid w:val="00A97C9A"/>
    <w:rsid w:val="00AA01C4"/>
    <w:rsid w:val="00AA09A0"/>
    <w:rsid w:val="00AA11AE"/>
    <w:rsid w:val="00AA1BAD"/>
    <w:rsid w:val="00AA1CAA"/>
    <w:rsid w:val="00AA26C6"/>
    <w:rsid w:val="00AA2EB8"/>
    <w:rsid w:val="00AA328E"/>
    <w:rsid w:val="00AA3D06"/>
    <w:rsid w:val="00AA4015"/>
    <w:rsid w:val="00AA48A3"/>
    <w:rsid w:val="00AA5139"/>
    <w:rsid w:val="00AA6762"/>
    <w:rsid w:val="00AA740D"/>
    <w:rsid w:val="00AA7F53"/>
    <w:rsid w:val="00AB09B7"/>
    <w:rsid w:val="00AB16E1"/>
    <w:rsid w:val="00AB2BC0"/>
    <w:rsid w:val="00AB2CE2"/>
    <w:rsid w:val="00AB2D7D"/>
    <w:rsid w:val="00AB30BB"/>
    <w:rsid w:val="00AB3E24"/>
    <w:rsid w:val="00AB4418"/>
    <w:rsid w:val="00AB521F"/>
    <w:rsid w:val="00AB5DB8"/>
    <w:rsid w:val="00AB7E02"/>
    <w:rsid w:val="00AC0835"/>
    <w:rsid w:val="00AC096C"/>
    <w:rsid w:val="00AC0E3D"/>
    <w:rsid w:val="00AC23F2"/>
    <w:rsid w:val="00AC2779"/>
    <w:rsid w:val="00AC37EA"/>
    <w:rsid w:val="00AC3B88"/>
    <w:rsid w:val="00AC3CD2"/>
    <w:rsid w:val="00AC522E"/>
    <w:rsid w:val="00AC6DD7"/>
    <w:rsid w:val="00AC720A"/>
    <w:rsid w:val="00AD0619"/>
    <w:rsid w:val="00AD13A1"/>
    <w:rsid w:val="00AD1BC8"/>
    <w:rsid w:val="00AD3B6D"/>
    <w:rsid w:val="00AD4727"/>
    <w:rsid w:val="00AD4BA9"/>
    <w:rsid w:val="00AD51F7"/>
    <w:rsid w:val="00AD55A3"/>
    <w:rsid w:val="00AD57E6"/>
    <w:rsid w:val="00AD6254"/>
    <w:rsid w:val="00AD6CF3"/>
    <w:rsid w:val="00AD7184"/>
    <w:rsid w:val="00AE01CD"/>
    <w:rsid w:val="00AE0D37"/>
    <w:rsid w:val="00AE158B"/>
    <w:rsid w:val="00AE1892"/>
    <w:rsid w:val="00AE1AE8"/>
    <w:rsid w:val="00AE2B0B"/>
    <w:rsid w:val="00AE43FC"/>
    <w:rsid w:val="00AE4AD0"/>
    <w:rsid w:val="00AE528F"/>
    <w:rsid w:val="00AE587D"/>
    <w:rsid w:val="00AE7245"/>
    <w:rsid w:val="00AE7927"/>
    <w:rsid w:val="00AE7CDB"/>
    <w:rsid w:val="00AF06D2"/>
    <w:rsid w:val="00AF0A3A"/>
    <w:rsid w:val="00AF16CE"/>
    <w:rsid w:val="00AF1B13"/>
    <w:rsid w:val="00AF1D82"/>
    <w:rsid w:val="00AF2940"/>
    <w:rsid w:val="00AF29D2"/>
    <w:rsid w:val="00AF2E0B"/>
    <w:rsid w:val="00AF3A22"/>
    <w:rsid w:val="00AF4403"/>
    <w:rsid w:val="00AF4822"/>
    <w:rsid w:val="00AF4C2B"/>
    <w:rsid w:val="00AF5D3F"/>
    <w:rsid w:val="00AF5DAD"/>
    <w:rsid w:val="00AF60D5"/>
    <w:rsid w:val="00AF6439"/>
    <w:rsid w:val="00AF7229"/>
    <w:rsid w:val="00AF72EC"/>
    <w:rsid w:val="00AF75A7"/>
    <w:rsid w:val="00B005A8"/>
    <w:rsid w:val="00B0063A"/>
    <w:rsid w:val="00B01523"/>
    <w:rsid w:val="00B02F46"/>
    <w:rsid w:val="00B03085"/>
    <w:rsid w:val="00B03965"/>
    <w:rsid w:val="00B03C2C"/>
    <w:rsid w:val="00B03E1C"/>
    <w:rsid w:val="00B04EE3"/>
    <w:rsid w:val="00B0579B"/>
    <w:rsid w:val="00B05A71"/>
    <w:rsid w:val="00B05F91"/>
    <w:rsid w:val="00B06560"/>
    <w:rsid w:val="00B1047F"/>
    <w:rsid w:val="00B11BE8"/>
    <w:rsid w:val="00B11D90"/>
    <w:rsid w:val="00B11E02"/>
    <w:rsid w:val="00B120D7"/>
    <w:rsid w:val="00B123D8"/>
    <w:rsid w:val="00B12526"/>
    <w:rsid w:val="00B1266E"/>
    <w:rsid w:val="00B14776"/>
    <w:rsid w:val="00B16CD0"/>
    <w:rsid w:val="00B16D08"/>
    <w:rsid w:val="00B17F4A"/>
    <w:rsid w:val="00B20351"/>
    <w:rsid w:val="00B216EF"/>
    <w:rsid w:val="00B21F67"/>
    <w:rsid w:val="00B22667"/>
    <w:rsid w:val="00B234EB"/>
    <w:rsid w:val="00B23523"/>
    <w:rsid w:val="00B23604"/>
    <w:rsid w:val="00B23AB1"/>
    <w:rsid w:val="00B23C36"/>
    <w:rsid w:val="00B24BD3"/>
    <w:rsid w:val="00B24E74"/>
    <w:rsid w:val="00B2503C"/>
    <w:rsid w:val="00B2564D"/>
    <w:rsid w:val="00B257F4"/>
    <w:rsid w:val="00B25860"/>
    <w:rsid w:val="00B26049"/>
    <w:rsid w:val="00B2754D"/>
    <w:rsid w:val="00B30116"/>
    <w:rsid w:val="00B319AC"/>
    <w:rsid w:val="00B32C92"/>
    <w:rsid w:val="00B339C6"/>
    <w:rsid w:val="00B33CA8"/>
    <w:rsid w:val="00B33FC6"/>
    <w:rsid w:val="00B34E63"/>
    <w:rsid w:val="00B36A29"/>
    <w:rsid w:val="00B402E3"/>
    <w:rsid w:val="00B415A1"/>
    <w:rsid w:val="00B4254D"/>
    <w:rsid w:val="00B4284F"/>
    <w:rsid w:val="00B42A5C"/>
    <w:rsid w:val="00B431E0"/>
    <w:rsid w:val="00B459D5"/>
    <w:rsid w:val="00B462E6"/>
    <w:rsid w:val="00B47638"/>
    <w:rsid w:val="00B50057"/>
    <w:rsid w:val="00B51006"/>
    <w:rsid w:val="00B51436"/>
    <w:rsid w:val="00B51C8B"/>
    <w:rsid w:val="00B526EF"/>
    <w:rsid w:val="00B529B5"/>
    <w:rsid w:val="00B53700"/>
    <w:rsid w:val="00B547F7"/>
    <w:rsid w:val="00B54F59"/>
    <w:rsid w:val="00B557FB"/>
    <w:rsid w:val="00B55B59"/>
    <w:rsid w:val="00B61F79"/>
    <w:rsid w:val="00B64139"/>
    <w:rsid w:val="00B64D20"/>
    <w:rsid w:val="00B65BCB"/>
    <w:rsid w:val="00B65E2B"/>
    <w:rsid w:val="00B66659"/>
    <w:rsid w:val="00B66CD1"/>
    <w:rsid w:val="00B66E4C"/>
    <w:rsid w:val="00B6712D"/>
    <w:rsid w:val="00B6750C"/>
    <w:rsid w:val="00B701AA"/>
    <w:rsid w:val="00B70905"/>
    <w:rsid w:val="00B70B3D"/>
    <w:rsid w:val="00B70C4F"/>
    <w:rsid w:val="00B70D13"/>
    <w:rsid w:val="00B729DE"/>
    <w:rsid w:val="00B7375A"/>
    <w:rsid w:val="00B73DB4"/>
    <w:rsid w:val="00B7403E"/>
    <w:rsid w:val="00B74849"/>
    <w:rsid w:val="00B75583"/>
    <w:rsid w:val="00B758C7"/>
    <w:rsid w:val="00B76BE3"/>
    <w:rsid w:val="00B7792E"/>
    <w:rsid w:val="00B800E6"/>
    <w:rsid w:val="00B802F5"/>
    <w:rsid w:val="00B8099D"/>
    <w:rsid w:val="00B81223"/>
    <w:rsid w:val="00B8203B"/>
    <w:rsid w:val="00B84B99"/>
    <w:rsid w:val="00B84EB2"/>
    <w:rsid w:val="00B850D2"/>
    <w:rsid w:val="00B85FC4"/>
    <w:rsid w:val="00B8691C"/>
    <w:rsid w:val="00B86BA1"/>
    <w:rsid w:val="00B86F94"/>
    <w:rsid w:val="00B87AD8"/>
    <w:rsid w:val="00B90359"/>
    <w:rsid w:val="00B90C15"/>
    <w:rsid w:val="00B90C5C"/>
    <w:rsid w:val="00B90EBA"/>
    <w:rsid w:val="00B921FA"/>
    <w:rsid w:val="00B92CE9"/>
    <w:rsid w:val="00B932C5"/>
    <w:rsid w:val="00B94188"/>
    <w:rsid w:val="00B94874"/>
    <w:rsid w:val="00B949E3"/>
    <w:rsid w:val="00B94DD8"/>
    <w:rsid w:val="00B96371"/>
    <w:rsid w:val="00B96A9A"/>
    <w:rsid w:val="00B96B98"/>
    <w:rsid w:val="00B96FF7"/>
    <w:rsid w:val="00BA01FA"/>
    <w:rsid w:val="00BA2616"/>
    <w:rsid w:val="00BA2645"/>
    <w:rsid w:val="00BA276D"/>
    <w:rsid w:val="00BA3AB7"/>
    <w:rsid w:val="00BA4136"/>
    <w:rsid w:val="00BA449C"/>
    <w:rsid w:val="00BA5B29"/>
    <w:rsid w:val="00BA5BAD"/>
    <w:rsid w:val="00BA6B1F"/>
    <w:rsid w:val="00BA6C10"/>
    <w:rsid w:val="00BB05E5"/>
    <w:rsid w:val="00BB08F8"/>
    <w:rsid w:val="00BB1009"/>
    <w:rsid w:val="00BB2656"/>
    <w:rsid w:val="00BB26E8"/>
    <w:rsid w:val="00BB28E0"/>
    <w:rsid w:val="00BB2920"/>
    <w:rsid w:val="00BB2C59"/>
    <w:rsid w:val="00BB4326"/>
    <w:rsid w:val="00BB4330"/>
    <w:rsid w:val="00BB4425"/>
    <w:rsid w:val="00BB4841"/>
    <w:rsid w:val="00BB4B42"/>
    <w:rsid w:val="00BB4D6B"/>
    <w:rsid w:val="00BB55FC"/>
    <w:rsid w:val="00BB5BAE"/>
    <w:rsid w:val="00BB5C6C"/>
    <w:rsid w:val="00BB5C8C"/>
    <w:rsid w:val="00BB64CC"/>
    <w:rsid w:val="00BB7DE6"/>
    <w:rsid w:val="00BB7E64"/>
    <w:rsid w:val="00BC0C22"/>
    <w:rsid w:val="00BC1526"/>
    <w:rsid w:val="00BC19A8"/>
    <w:rsid w:val="00BC2730"/>
    <w:rsid w:val="00BC3495"/>
    <w:rsid w:val="00BC5D97"/>
    <w:rsid w:val="00BC612C"/>
    <w:rsid w:val="00BC6F15"/>
    <w:rsid w:val="00BC7608"/>
    <w:rsid w:val="00BD01A1"/>
    <w:rsid w:val="00BD0D32"/>
    <w:rsid w:val="00BD0FDB"/>
    <w:rsid w:val="00BD15C1"/>
    <w:rsid w:val="00BD160F"/>
    <w:rsid w:val="00BD2697"/>
    <w:rsid w:val="00BD2B28"/>
    <w:rsid w:val="00BD2DF8"/>
    <w:rsid w:val="00BD3700"/>
    <w:rsid w:val="00BD3730"/>
    <w:rsid w:val="00BD3DDB"/>
    <w:rsid w:val="00BD4F17"/>
    <w:rsid w:val="00BD50B2"/>
    <w:rsid w:val="00BD5184"/>
    <w:rsid w:val="00BD7240"/>
    <w:rsid w:val="00BD7737"/>
    <w:rsid w:val="00BE07C9"/>
    <w:rsid w:val="00BE2063"/>
    <w:rsid w:val="00BE2A68"/>
    <w:rsid w:val="00BE2F65"/>
    <w:rsid w:val="00BE46D5"/>
    <w:rsid w:val="00BE477C"/>
    <w:rsid w:val="00BE4A65"/>
    <w:rsid w:val="00BE4B53"/>
    <w:rsid w:val="00BE4DCF"/>
    <w:rsid w:val="00BE5AD7"/>
    <w:rsid w:val="00BF0422"/>
    <w:rsid w:val="00BF08E3"/>
    <w:rsid w:val="00BF1681"/>
    <w:rsid w:val="00BF2A91"/>
    <w:rsid w:val="00BF3680"/>
    <w:rsid w:val="00BF4BE8"/>
    <w:rsid w:val="00BF4C68"/>
    <w:rsid w:val="00BF56D7"/>
    <w:rsid w:val="00BF6023"/>
    <w:rsid w:val="00BF6C97"/>
    <w:rsid w:val="00BF73D8"/>
    <w:rsid w:val="00BF76C6"/>
    <w:rsid w:val="00BF79AE"/>
    <w:rsid w:val="00BF7DD7"/>
    <w:rsid w:val="00C0038C"/>
    <w:rsid w:val="00C0038E"/>
    <w:rsid w:val="00C00474"/>
    <w:rsid w:val="00C0096F"/>
    <w:rsid w:val="00C0120A"/>
    <w:rsid w:val="00C01310"/>
    <w:rsid w:val="00C01DE7"/>
    <w:rsid w:val="00C0219F"/>
    <w:rsid w:val="00C02603"/>
    <w:rsid w:val="00C044B1"/>
    <w:rsid w:val="00C0584C"/>
    <w:rsid w:val="00C05E23"/>
    <w:rsid w:val="00C07159"/>
    <w:rsid w:val="00C0769B"/>
    <w:rsid w:val="00C0772F"/>
    <w:rsid w:val="00C07B68"/>
    <w:rsid w:val="00C111DA"/>
    <w:rsid w:val="00C11267"/>
    <w:rsid w:val="00C116BF"/>
    <w:rsid w:val="00C11C63"/>
    <w:rsid w:val="00C13834"/>
    <w:rsid w:val="00C148F1"/>
    <w:rsid w:val="00C1524F"/>
    <w:rsid w:val="00C1570A"/>
    <w:rsid w:val="00C1619A"/>
    <w:rsid w:val="00C17425"/>
    <w:rsid w:val="00C1776E"/>
    <w:rsid w:val="00C17E06"/>
    <w:rsid w:val="00C2053A"/>
    <w:rsid w:val="00C20796"/>
    <w:rsid w:val="00C20971"/>
    <w:rsid w:val="00C215E3"/>
    <w:rsid w:val="00C218AD"/>
    <w:rsid w:val="00C21D7D"/>
    <w:rsid w:val="00C22CEF"/>
    <w:rsid w:val="00C24A89"/>
    <w:rsid w:val="00C252D4"/>
    <w:rsid w:val="00C2562B"/>
    <w:rsid w:val="00C25760"/>
    <w:rsid w:val="00C2752B"/>
    <w:rsid w:val="00C279E9"/>
    <w:rsid w:val="00C27E71"/>
    <w:rsid w:val="00C27FCC"/>
    <w:rsid w:val="00C30E5A"/>
    <w:rsid w:val="00C31882"/>
    <w:rsid w:val="00C324EE"/>
    <w:rsid w:val="00C329E6"/>
    <w:rsid w:val="00C33353"/>
    <w:rsid w:val="00C3420C"/>
    <w:rsid w:val="00C34B1B"/>
    <w:rsid w:val="00C350BC"/>
    <w:rsid w:val="00C363F0"/>
    <w:rsid w:val="00C374B6"/>
    <w:rsid w:val="00C374D3"/>
    <w:rsid w:val="00C37808"/>
    <w:rsid w:val="00C37A09"/>
    <w:rsid w:val="00C37BF7"/>
    <w:rsid w:val="00C407B0"/>
    <w:rsid w:val="00C412DA"/>
    <w:rsid w:val="00C419F8"/>
    <w:rsid w:val="00C42D21"/>
    <w:rsid w:val="00C43262"/>
    <w:rsid w:val="00C449F2"/>
    <w:rsid w:val="00C44C24"/>
    <w:rsid w:val="00C44EE1"/>
    <w:rsid w:val="00C4689C"/>
    <w:rsid w:val="00C4732C"/>
    <w:rsid w:val="00C501E1"/>
    <w:rsid w:val="00C5108B"/>
    <w:rsid w:val="00C5191E"/>
    <w:rsid w:val="00C5243C"/>
    <w:rsid w:val="00C541E5"/>
    <w:rsid w:val="00C548D1"/>
    <w:rsid w:val="00C56A21"/>
    <w:rsid w:val="00C56F33"/>
    <w:rsid w:val="00C570AB"/>
    <w:rsid w:val="00C5790D"/>
    <w:rsid w:val="00C57E50"/>
    <w:rsid w:val="00C6207A"/>
    <w:rsid w:val="00C62ECA"/>
    <w:rsid w:val="00C635E7"/>
    <w:rsid w:val="00C66502"/>
    <w:rsid w:val="00C66ED6"/>
    <w:rsid w:val="00C72E30"/>
    <w:rsid w:val="00C73A99"/>
    <w:rsid w:val="00C73AA3"/>
    <w:rsid w:val="00C742C5"/>
    <w:rsid w:val="00C74EEB"/>
    <w:rsid w:val="00C75E87"/>
    <w:rsid w:val="00C762F4"/>
    <w:rsid w:val="00C77769"/>
    <w:rsid w:val="00C811A0"/>
    <w:rsid w:val="00C81852"/>
    <w:rsid w:val="00C81AE4"/>
    <w:rsid w:val="00C82377"/>
    <w:rsid w:val="00C823B1"/>
    <w:rsid w:val="00C8317F"/>
    <w:rsid w:val="00C8395D"/>
    <w:rsid w:val="00C83B66"/>
    <w:rsid w:val="00C84745"/>
    <w:rsid w:val="00C85E9F"/>
    <w:rsid w:val="00C86049"/>
    <w:rsid w:val="00C8606C"/>
    <w:rsid w:val="00C876D3"/>
    <w:rsid w:val="00C87C28"/>
    <w:rsid w:val="00C87C52"/>
    <w:rsid w:val="00C910E0"/>
    <w:rsid w:val="00C91918"/>
    <w:rsid w:val="00C930FA"/>
    <w:rsid w:val="00C9337D"/>
    <w:rsid w:val="00C93E91"/>
    <w:rsid w:val="00C94FEE"/>
    <w:rsid w:val="00CA01DA"/>
    <w:rsid w:val="00CA05D9"/>
    <w:rsid w:val="00CA0823"/>
    <w:rsid w:val="00CA162D"/>
    <w:rsid w:val="00CA1AB5"/>
    <w:rsid w:val="00CA1C71"/>
    <w:rsid w:val="00CA3C2E"/>
    <w:rsid w:val="00CA442E"/>
    <w:rsid w:val="00CA4E4C"/>
    <w:rsid w:val="00CA5639"/>
    <w:rsid w:val="00CA5844"/>
    <w:rsid w:val="00CA5AE6"/>
    <w:rsid w:val="00CA6736"/>
    <w:rsid w:val="00CA71BA"/>
    <w:rsid w:val="00CA752E"/>
    <w:rsid w:val="00CA765D"/>
    <w:rsid w:val="00CA790E"/>
    <w:rsid w:val="00CA7D30"/>
    <w:rsid w:val="00CB2CC6"/>
    <w:rsid w:val="00CB38AC"/>
    <w:rsid w:val="00CB3EBA"/>
    <w:rsid w:val="00CB53AF"/>
    <w:rsid w:val="00CB5455"/>
    <w:rsid w:val="00CB61D0"/>
    <w:rsid w:val="00CB7CE3"/>
    <w:rsid w:val="00CB7FFE"/>
    <w:rsid w:val="00CC0E69"/>
    <w:rsid w:val="00CC22B4"/>
    <w:rsid w:val="00CC26DB"/>
    <w:rsid w:val="00CC2EE7"/>
    <w:rsid w:val="00CC3555"/>
    <w:rsid w:val="00CC4056"/>
    <w:rsid w:val="00CC40AA"/>
    <w:rsid w:val="00CC4691"/>
    <w:rsid w:val="00CC4E93"/>
    <w:rsid w:val="00CC4F51"/>
    <w:rsid w:val="00CD0131"/>
    <w:rsid w:val="00CD15C8"/>
    <w:rsid w:val="00CD2C78"/>
    <w:rsid w:val="00CD3EF8"/>
    <w:rsid w:val="00CD4338"/>
    <w:rsid w:val="00CD435F"/>
    <w:rsid w:val="00CD4A0E"/>
    <w:rsid w:val="00CD4F4E"/>
    <w:rsid w:val="00CD4FF9"/>
    <w:rsid w:val="00CD54EA"/>
    <w:rsid w:val="00CD623E"/>
    <w:rsid w:val="00CD69CD"/>
    <w:rsid w:val="00CD78E5"/>
    <w:rsid w:val="00CD79D1"/>
    <w:rsid w:val="00CD7C9D"/>
    <w:rsid w:val="00CD7D6D"/>
    <w:rsid w:val="00CD7E24"/>
    <w:rsid w:val="00CD7E41"/>
    <w:rsid w:val="00CE0223"/>
    <w:rsid w:val="00CE061B"/>
    <w:rsid w:val="00CE1618"/>
    <w:rsid w:val="00CE1BB0"/>
    <w:rsid w:val="00CE1D58"/>
    <w:rsid w:val="00CE22DD"/>
    <w:rsid w:val="00CE246F"/>
    <w:rsid w:val="00CE2B72"/>
    <w:rsid w:val="00CE33F3"/>
    <w:rsid w:val="00CE4607"/>
    <w:rsid w:val="00CE4621"/>
    <w:rsid w:val="00CE4C9A"/>
    <w:rsid w:val="00CE4E6B"/>
    <w:rsid w:val="00CE5F40"/>
    <w:rsid w:val="00CE6CCA"/>
    <w:rsid w:val="00CE7682"/>
    <w:rsid w:val="00CE7C6B"/>
    <w:rsid w:val="00CE7F48"/>
    <w:rsid w:val="00CE7FA1"/>
    <w:rsid w:val="00CF015F"/>
    <w:rsid w:val="00CF0327"/>
    <w:rsid w:val="00CF0557"/>
    <w:rsid w:val="00CF0A68"/>
    <w:rsid w:val="00CF134B"/>
    <w:rsid w:val="00CF1484"/>
    <w:rsid w:val="00CF1AEA"/>
    <w:rsid w:val="00CF1DC0"/>
    <w:rsid w:val="00CF1F27"/>
    <w:rsid w:val="00CF20DD"/>
    <w:rsid w:val="00CF3BD4"/>
    <w:rsid w:val="00CF40E7"/>
    <w:rsid w:val="00CF4152"/>
    <w:rsid w:val="00CF423D"/>
    <w:rsid w:val="00CF4996"/>
    <w:rsid w:val="00CF52FD"/>
    <w:rsid w:val="00CF6C3F"/>
    <w:rsid w:val="00CF7A46"/>
    <w:rsid w:val="00D01EFC"/>
    <w:rsid w:val="00D03F2F"/>
    <w:rsid w:val="00D042C3"/>
    <w:rsid w:val="00D053D1"/>
    <w:rsid w:val="00D05F10"/>
    <w:rsid w:val="00D06B59"/>
    <w:rsid w:val="00D06F66"/>
    <w:rsid w:val="00D0749C"/>
    <w:rsid w:val="00D07ABD"/>
    <w:rsid w:val="00D07EDC"/>
    <w:rsid w:val="00D1132B"/>
    <w:rsid w:val="00D11BFE"/>
    <w:rsid w:val="00D121DE"/>
    <w:rsid w:val="00D12EA0"/>
    <w:rsid w:val="00D133DC"/>
    <w:rsid w:val="00D13B1E"/>
    <w:rsid w:val="00D13B6E"/>
    <w:rsid w:val="00D13E83"/>
    <w:rsid w:val="00D159F7"/>
    <w:rsid w:val="00D15AD0"/>
    <w:rsid w:val="00D161B7"/>
    <w:rsid w:val="00D17B07"/>
    <w:rsid w:val="00D17F18"/>
    <w:rsid w:val="00D2128C"/>
    <w:rsid w:val="00D21EAA"/>
    <w:rsid w:val="00D21F39"/>
    <w:rsid w:val="00D22685"/>
    <w:rsid w:val="00D22A9B"/>
    <w:rsid w:val="00D22AAD"/>
    <w:rsid w:val="00D22EC2"/>
    <w:rsid w:val="00D2607A"/>
    <w:rsid w:val="00D26781"/>
    <w:rsid w:val="00D26C70"/>
    <w:rsid w:val="00D27D21"/>
    <w:rsid w:val="00D31899"/>
    <w:rsid w:val="00D3332F"/>
    <w:rsid w:val="00D33F61"/>
    <w:rsid w:val="00D33F73"/>
    <w:rsid w:val="00D34B88"/>
    <w:rsid w:val="00D353EE"/>
    <w:rsid w:val="00D35568"/>
    <w:rsid w:val="00D403F2"/>
    <w:rsid w:val="00D40879"/>
    <w:rsid w:val="00D41CC4"/>
    <w:rsid w:val="00D422A8"/>
    <w:rsid w:val="00D4298C"/>
    <w:rsid w:val="00D42D6C"/>
    <w:rsid w:val="00D43C6E"/>
    <w:rsid w:val="00D43F25"/>
    <w:rsid w:val="00D45317"/>
    <w:rsid w:val="00D457FE"/>
    <w:rsid w:val="00D459DA"/>
    <w:rsid w:val="00D45B13"/>
    <w:rsid w:val="00D4644E"/>
    <w:rsid w:val="00D4654B"/>
    <w:rsid w:val="00D47DB0"/>
    <w:rsid w:val="00D5073C"/>
    <w:rsid w:val="00D50EAC"/>
    <w:rsid w:val="00D51178"/>
    <w:rsid w:val="00D52D0B"/>
    <w:rsid w:val="00D53EBC"/>
    <w:rsid w:val="00D5470C"/>
    <w:rsid w:val="00D54E7D"/>
    <w:rsid w:val="00D55A31"/>
    <w:rsid w:val="00D560E5"/>
    <w:rsid w:val="00D573AF"/>
    <w:rsid w:val="00D574F1"/>
    <w:rsid w:val="00D57879"/>
    <w:rsid w:val="00D600F5"/>
    <w:rsid w:val="00D606F9"/>
    <w:rsid w:val="00D60C64"/>
    <w:rsid w:val="00D629C7"/>
    <w:rsid w:val="00D62E32"/>
    <w:rsid w:val="00D6303C"/>
    <w:rsid w:val="00D634E0"/>
    <w:rsid w:val="00D63983"/>
    <w:rsid w:val="00D63B88"/>
    <w:rsid w:val="00D6434D"/>
    <w:rsid w:val="00D64B99"/>
    <w:rsid w:val="00D64CF1"/>
    <w:rsid w:val="00D659A0"/>
    <w:rsid w:val="00D66FE8"/>
    <w:rsid w:val="00D67D5B"/>
    <w:rsid w:val="00D70BCF"/>
    <w:rsid w:val="00D70C84"/>
    <w:rsid w:val="00D71ADE"/>
    <w:rsid w:val="00D722FF"/>
    <w:rsid w:val="00D725D8"/>
    <w:rsid w:val="00D72B2A"/>
    <w:rsid w:val="00D73EB7"/>
    <w:rsid w:val="00D7496C"/>
    <w:rsid w:val="00D74ED7"/>
    <w:rsid w:val="00D750CD"/>
    <w:rsid w:val="00D75F08"/>
    <w:rsid w:val="00D76455"/>
    <w:rsid w:val="00D76A34"/>
    <w:rsid w:val="00D76C4E"/>
    <w:rsid w:val="00D77698"/>
    <w:rsid w:val="00D7797A"/>
    <w:rsid w:val="00D8023F"/>
    <w:rsid w:val="00D83747"/>
    <w:rsid w:val="00D8377F"/>
    <w:rsid w:val="00D837B6"/>
    <w:rsid w:val="00D83DCE"/>
    <w:rsid w:val="00D85155"/>
    <w:rsid w:val="00D85F20"/>
    <w:rsid w:val="00D91796"/>
    <w:rsid w:val="00D9281C"/>
    <w:rsid w:val="00D92D70"/>
    <w:rsid w:val="00D94DBC"/>
    <w:rsid w:val="00D97C8F"/>
    <w:rsid w:val="00DA0CFA"/>
    <w:rsid w:val="00DA114F"/>
    <w:rsid w:val="00DA162E"/>
    <w:rsid w:val="00DA2915"/>
    <w:rsid w:val="00DA3312"/>
    <w:rsid w:val="00DA363E"/>
    <w:rsid w:val="00DA3A5A"/>
    <w:rsid w:val="00DA46A1"/>
    <w:rsid w:val="00DA46EF"/>
    <w:rsid w:val="00DA4FF7"/>
    <w:rsid w:val="00DA732B"/>
    <w:rsid w:val="00DB0083"/>
    <w:rsid w:val="00DB26BC"/>
    <w:rsid w:val="00DB4422"/>
    <w:rsid w:val="00DB44D6"/>
    <w:rsid w:val="00DB46C7"/>
    <w:rsid w:val="00DB4F2A"/>
    <w:rsid w:val="00DB4F47"/>
    <w:rsid w:val="00DB59CE"/>
    <w:rsid w:val="00DB65DB"/>
    <w:rsid w:val="00DB6D88"/>
    <w:rsid w:val="00DB775B"/>
    <w:rsid w:val="00DB784D"/>
    <w:rsid w:val="00DC16F5"/>
    <w:rsid w:val="00DC18C6"/>
    <w:rsid w:val="00DC2273"/>
    <w:rsid w:val="00DC2426"/>
    <w:rsid w:val="00DC2622"/>
    <w:rsid w:val="00DC3536"/>
    <w:rsid w:val="00DC391B"/>
    <w:rsid w:val="00DC4978"/>
    <w:rsid w:val="00DC5798"/>
    <w:rsid w:val="00DC5E00"/>
    <w:rsid w:val="00DC7346"/>
    <w:rsid w:val="00DC7A4A"/>
    <w:rsid w:val="00DC7C92"/>
    <w:rsid w:val="00DC7DC1"/>
    <w:rsid w:val="00DD048F"/>
    <w:rsid w:val="00DD1669"/>
    <w:rsid w:val="00DD1C6D"/>
    <w:rsid w:val="00DD1E59"/>
    <w:rsid w:val="00DD2556"/>
    <w:rsid w:val="00DD2661"/>
    <w:rsid w:val="00DD4389"/>
    <w:rsid w:val="00DD5231"/>
    <w:rsid w:val="00DD5575"/>
    <w:rsid w:val="00DD6554"/>
    <w:rsid w:val="00DD7E6F"/>
    <w:rsid w:val="00DE0AB0"/>
    <w:rsid w:val="00DE1551"/>
    <w:rsid w:val="00DE1589"/>
    <w:rsid w:val="00DE1DD0"/>
    <w:rsid w:val="00DE2787"/>
    <w:rsid w:val="00DE3213"/>
    <w:rsid w:val="00DE3B98"/>
    <w:rsid w:val="00DE47BA"/>
    <w:rsid w:val="00DE4B7E"/>
    <w:rsid w:val="00DE5371"/>
    <w:rsid w:val="00DE5537"/>
    <w:rsid w:val="00DE57AA"/>
    <w:rsid w:val="00DE6BF6"/>
    <w:rsid w:val="00DE76D2"/>
    <w:rsid w:val="00DE7E13"/>
    <w:rsid w:val="00DE7F36"/>
    <w:rsid w:val="00DF0046"/>
    <w:rsid w:val="00DF0721"/>
    <w:rsid w:val="00DF0CE5"/>
    <w:rsid w:val="00DF173F"/>
    <w:rsid w:val="00DF1AB8"/>
    <w:rsid w:val="00DF1C86"/>
    <w:rsid w:val="00DF2D58"/>
    <w:rsid w:val="00DF4A18"/>
    <w:rsid w:val="00DF4C1F"/>
    <w:rsid w:val="00DF6135"/>
    <w:rsid w:val="00DF6447"/>
    <w:rsid w:val="00DF6AC1"/>
    <w:rsid w:val="00DF6B85"/>
    <w:rsid w:val="00DF6F2E"/>
    <w:rsid w:val="00DF718B"/>
    <w:rsid w:val="00DF7831"/>
    <w:rsid w:val="00E015BB"/>
    <w:rsid w:val="00E01FFD"/>
    <w:rsid w:val="00E020C1"/>
    <w:rsid w:val="00E02572"/>
    <w:rsid w:val="00E02C6F"/>
    <w:rsid w:val="00E02F3C"/>
    <w:rsid w:val="00E03293"/>
    <w:rsid w:val="00E039AA"/>
    <w:rsid w:val="00E03FF0"/>
    <w:rsid w:val="00E049DF"/>
    <w:rsid w:val="00E04FB8"/>
    <w:rsid w:val="00E054CE"/>
    <w:rsid w:val="00E05824"/>
    <w:rsid w:val="00E05DE2"/>
    <w:rsid w:val="00E0632A"/>
    <w:rsid w:val="00E0784D"/>
    <w:rsid w:val="00E105F4"/>
    <w:rsid w:val="00E10AD8"/>
    <w:rsid w:val="00E10E82"/>
    <w:rsid w:val="00E112BC"/>
    <w:rsid w:val="00E11649"/>
    <w:rsid w:val="00E1445D"/>
    <w:rsid w:val="00E1474E"/>
    <w:rsid w:val="00E154F1"/>
    <w:rsid w:val="00E157C8"/>
    <w:rsid w:val="00E163ED"/>
    <w:rsid w:val="00E16D1A"/>
    <w:rsid w:val="00E16FCC"/>
    <w:rsid w:val="00E1710E"/>
    <w:rsid w:val="00E209CB"/>
    <w:rsid w:val="00E220E6"/>
    <w:rsid w:val="00E2285A"/>
    <w:rsid w:val="00E22AFA"/>
    <w:rsid w:val="00E23301"/>
    <w:rsid w:val="00E23B1E"/>
    <w:rsid w:val="00E23BC9"/>
    <w:rsid w:val="00E24383"/>
    <w:rsid w:val="00E25A28"/>
    <w:rsid w:val="00E25B94"/>
    <w:rsid w:val="00E25D38"/>
    <w:rsid w:val="00E26D67"/>
    <w:rsid w:val="00E26F61"/>
    <w:rsid w:val="00E27B2A"/>
    <w:rsid w:val="00E27EB7"/>
    <w:rsid w:val="00E30409"/>
    <w:rsid w:val="00E3095A"/>
    <w:rsid w:val="00E30A04"/>
    <w:rsid w:val="00E30FBF"/>
    <w:rsid w:val="00E31641"/>
    <w:rsid w:val="00E319A1"/>
    <w:rsid w:val="00E33BDB"/>
    <w:rsid w:val="00E348AC"/>
    <w:rsid w:val="00E351F8"/>
    <w:rsid w:val="00E35CEC"/>
    <w:rsid w:val="00E36883"/>
    <w:rsid w:val="00E37CFA"/>
    <w:rsid w:val="00E37EAE"/>
    <w:rsid w:val="00E37F68"/>
    <w:rsid w:val="00E41133"/>
    <w:rsid w:val="00E418B2"/>
    <w:rsid w:val="00E4241B"/>
    <w:rsid w:val="00E42432"/>
    <w:rsid w:val="00E43067"/>
    <w:rsid w:val="00E4391F"/>
    <w:rsid w:val="00E447F6"/>
    <w:rsid w:val="00E453D9"/>
    <w:rsid w:val="00E459CF"/>
    <w:rsid w:val="00E471EA"/>
    <w:rsid w:val="00E47395"/>
    <w:rsid w:val="00E509B7"/>
    <w:rsid w:val="00E50A6D"/>
    <w:rsid w:val="00E532F2"/>
    <w:rsid w:val="00E534AF"/>
    <w:rsid w:val="00E53A99"/>
    <w:rsid w:val="00E53D13"/>
    <w:rsid w:val="00E53E7E"/>
    <w:rsid w:val="00E53FC3"/>
    <w:rsid w:val="00E54E48"/>
    <w:rsid w:val="00E61336"/>
    <w:rsid w:val="00E61FEF"/>
    <w:rsid w:val="00E623DE"/>
    <w:rsid w:val="00E62746"/>
    <w:rsid w:val="00E62DF2"/>
    <w:rsid w:val="00E637DB"/>
    <w:rsid w:val="00E64416"/>
    <w:rsid w:val="00E64ED5"/>
    <w:rsid w:val="00E64EF0"/>
    <w:rsid w:val="00E6559D"/>
    <w:rsid w:val="00E67EA1"/>
    <w:rsid w:val="00E70435"/>
    <w:rsid w:val="00E70C37"/>
    <w:rsid w:val="00E7154B"/>
    <w:rsid w:val="00E72104"/>
    <w:rsid w:val="00E74599"/>
    <w:rsid w:val="00E745D3"/>
    <w:rsid w:val="00E7479D"/>
    <w:rsid w:val="00E762AF"/>
    <w:rsid w:val="00E76E60"/>
    <w:rsid w:val="00E807D7"/>
    <w:rsid w:val="00E80985"/>
    <w:rsid w:val="00E80E5D"/>
    <w:rsid w:val="00E82FC3"/>
    <w:rsid w:val="00E8413E"/>
    <w:rsid w:val="00E84892"/>
    <w:rsid w:val="00E84DC9"/>
    <w:rsid w:val="00E8506C"/>
    <w:rsid w:val="00E86EA9"/>
    <w:rsid w:val="00E9024A"/>
    <w:rsid w:val="00E90EC1"/>
    <w:rsid w:val="00E91203"/>
    <w:rsid w:val="00E918B6"/>
    <w:rsid w:val="00E91E5C"/>
    <w:rsid w:val="00E929C4"/>
    <w:rsid w:val="00E92CBA"/>
    <w:rsid w:val="00E932FE"/>
    <w:rsid w:val="00E94FEC"/>
    <w:rsid w:val="00E9585B"/>
    <w:rsid w:val="00E9620B"/>
    <w:rsid w:val="00E9730C"/>
    <w:rsid w:val="00E97810"/>
    <w:rsid w:val="00E97B93"/>
    <w:rsid w:val="00E97D57"/>
    <w:rsid w:val="00EA1DD6"/>
    <w:rsid w:val="00EA21D2"/>
    <w:rsid w:val="00EA22A8"/>
    <w:rsid w:val="00EA2A00"/>
    <w:rsid w:val="00EA3085"/>
    <w:rsid w:val="00EA32C2"/>
    <w:rsid w:val="00EA3F9B"/>
    <w:rsid w:val="00EA4E3C"/>
    <w:rsid w:val="00EA5591"/>
    <w:rsid w:val="00EA696B"/>
    <w:rsid w:val="00EA699D"/>
    <w:rsid w:val="00EA750E"/>
    <w:rsid w:val="00EA7B4C"/>
    <w:rsid w:val="00EB1999"/>
    <w:rsid w:val="00EB381A"/>
    <w:rsid w:val="00EB4143"/>
    <w:rsid w:val="00EB473D"/>
    <w:rsid w:val="00EB553A"/>
    <w:rsid w:val="00EB5E03"/>
    <w:rsid w:val="00EB67B6"/>
    <w:rsid w:val="00EB735C"/>
    <w:rsid w:val="00EC1063"/>
    <w:rsid w:val="00EC1210"/>
    <w:rsid w:val="00EC252F"/>
    <w:rsid w:val="00EC3347"/>
    <w:rsid w:val="00EC37E1"/>
    <w:rsid w:val="00EC4D64"/>
    <w:rsid w:val="00EC5539"/>
    <w:rsid w:val="00EC5697"/>
    <w:rsid w:val="00EC5E9A"/>
    <w:rsid w:val="00EC70B3"/>
    <w:rsid w:val="00EC7A8D"/>
    <w:rsid w:val="00ED0083"/>
    <w:rsid w:val="00ED0B77"/>
    <w:rsid w:val="00ED1277"/>
    <w:rsid w:val="00ED165D"/>
    <w:rsid w:val="00ED3174"/>
    <w:rsid w:val="00ED3F96"/>
    <w:rsid w:val="00ED4896"/>
    <w:rsid w:val="00ED50C6"/>
    <w:rsid w:val="00ED5F07"/>
    <w:rsid w:val="00ED6D93"/>
    <w:rsid w:val="00ED711C"/>
    <w:rsid w:val="00ED7465"/>
    <w:rsid w:val="00EE01CB"/>
    <w:rsid w:val="00EE0358"/>
    <w:rsid w:val="00EE0F97"/>
    <w:rsid w:val="00EE1B4C"/>
    <w:rsid w:val="00EE1F5A"/>
    <w:rsid w:val="00EE25F4"/>
    <w:rsid w:val="00EE3082"/>
    <w:rsid w:val="00EE42E1"/>
    <w:rsid w:val="00EE4947"/>
    <w:rsid w:val="00EE5159"/>
    <w:rsid w:val="00EE5E69"/>
    <w:rsid w:val="00EE6D7C"/>
    <w:rsid w:val="00EE709F"/>
    <w:rsid w:val="00EE7364"/>
    <w:rsid w:val="00EE742B"/>
    <w:rsid w:val="00EE7933"/>
    <w:rsid w:val="00EE79D2"/>
    <w:rsid w:val="00EF041E"/>
    <w:rsid w:val="00EF12AA"/>
    <w:rsid w:val="00EF2261"/>
    <w:rsid w:val="00EF2292"/>
    <w:rsid w:val="00EF372B"/>
    <w:rsid w:val="00EF4C43"/>
    <w:rsid w:val="00EF4D8F"/>
    <w:rsid w:val="00EF59CF"/>
    <w:rsid w:val="00EF650C"/>
    <w:rsid w:val="00EF6617"/>
    <w:rsid w:val="00EF6DC9"/>
    <w:rsid w:val="00EF705D"/>
    <w:rsid w:val="00EF7152"/>
    <w:rsid w:val="00EF7636"/>
    <w:rsid w:val="00F011B7"/>
    <w:rsid w:val="00F01DA3"/>
    <w:rsid w:val="00F026D6"/>
    <w:rsid w:val="00F03D18"/>
    <w:rsid w:val="00F03F5F"/>
    <w:rsid w:val="00F04A8E"/>
    <w:rsid w:val="00F04BE3"/>
    <w:rsid w:val="00F04F9F"/>
    <w:rsid w:val="00F050BA"/>
    <w:rsid w:val="00F051DC"/>
    <w:rsid w:val="00F05EFD"/>
    <w:rsid w:val="00F05FAA"/>
    <w:rsid w:val="00F06A1E"/>
    <w:rsid w:val="00F07354"/>
    <w:rsid w:val="00F07AD2"/>
    <w:rsid w:val="00F07C62"/>
    <w:rsid w:val="00F07FFC"/>
    <w:rsid w:val="00F109D9"/>
    <w:rsid w:val="00F115F0"/>
    <w:rsid w:val="00F1177D"/>
    <w:rsid w:val="00F118BA"/>
    <w:rsid w:val="00F12A7B"/>
    <w:rsid w:val="00F1485C"/>
    <w:rsid w:val="00F148BF"/>
    <w:rsid w:val="00F15D8D"/>
    <w:rsid w:val="00F1734C"/>
    <w:rsid w:val="00F205AC"/>
    <w:rsid w:val="00F20B93"/>
    <w:rsid w:val="00F215A3"/>
    <w:rsid w:val="00F216A2"/>
    <w:rsid w:val="00F21ECE"/>
    <w:rsid w:val="00F224F2"/>
    <w:rsid w:val="00F229BA"/>
    <w:rsid w:val="00F23DB0"/>
    <w:rsid w:val="00F2667C"/>
    <w:rsid w:val="00F26A4C"/>
    <w:rsid w:val="00F26AE2"/>
    <w:rsid w:val="00F27CB7"/>
    <w:rsid w:val="00F27FDE"/>
    <w:rsid w:val="00F3092D"/>
    <w:rsid w:val="00F33762"/>
    <w:rsid w:val="00F34335"/>
    <w:rsid w:val="00F3465C"/>
    <w:rsid w:val="00F356A6"/>
    <w:rsid w:val="00F35A8C"/>
    <w:rsid w:val="00F377E7"/>
    <w:rsid w:val="00F421C0"/>
    <w:rsid w:val="00F42827"/>
    <w:rsid w:val="00F43671"/>
    <w:rsid w:val="00F4431E"/>
    <w:rsid w:val="00F44B35"/>
    <w:rsid w:val="00F44C37"/>
    <w:rsid w:val="00F457FF"/>
    <w:rsid w:val="00F45A24"/>
    <w:rsid w:val="00F45E21"/>
    <w:rsid w:val="00F45E69"/>
    <w:rsid w:val="00F466E3"/>
    <w:rsid w:val="00F5053F"/>
    <w:rsid w:val="00F50554"/>
    <w:rsid w:val="00F50FE5"/>
    <w:rsid w:val="00F51258"/>
    <w:rsid w:val="00F51787"/>
    <w:rsid w:val="00F52D47"/>
    <w:rsid w:val="00F535AC"/>
    <w:rsid w:val="00F53C21"/>
    <w:rsid w:val="00F55A1F"/>
    <w:rsid w:val="00F57D54"/>
    <w:rsid w:val="00F612BA"/>
    <w:rsid w:val="00F6179D"/>
    <w:rsid w:val="00F62ACC"/>
    <w:rsid w:val="00F636AF"/>
    <w:rsid w:val="00F642D2"/>
    <w:rsid w:val="00F64758"/>
    <w:rsid w:val="00F64A1F"/>
    <w:rsid w:val="00F650F4"/>
    <w:rsid w:val="00F65698"/>
    <w:rsid w:val="00F6606C"/>
    <w:rsid w:val="00F675DD"/>
    <w:rsid w:val="00F67F30"/>
    <w:rsid w:val="00F713E8"/>
    <w:rsid w:val="00F71489"/>
    <w:rsid w:val="00F7173A"/>
    <w:rsid w:val="00F71899"/>
    <w:rsid w:val="00F71EBD"/>
    <w:rsid w:val="00F72ECB"/>
    <w:rsid w:val="00F74EF3"/>
    <w:rsid w:val="00F74F10"/>
    <w:rsid w:val="00F75B4F"/>
    <w:rsid w:val="00F77E47"/>
    <w:rsid w:val="00F802EF"/>
    <w:rsid w:val="00F80500"/>
    <w:rsid w:val="00F80822"/>
    <w:rsid w:val="00F80FA1"/>
    <w:rsid w:val="00F811EC"/>
    <w:rsid w:val="00F81336"/>
    <w:rsid w:val="00F815FD"/>
    <w:rsid w:val="00F8268A"/>
    <w:rsid w:val="00F82EE1"/>
    <w:rsid w:val="00F837DD"/>
    <w:rsid w:val="00F84139"/>
    <w:rsid w:val="00F85533"/>
    <w:rsid w:val="00F85925"/>
    <w:rsid w:val="00F85A17"/>
    <w:rsid w:val="00F8626A"/>
    <w:rsid w:val="00F86B86"/>
    <w:rsid w:val="00F87EAC"/>
    <w:rsid w:val="00F91671"/>
    <w:rsid w:val="00F92824"/>
    <w:rsid w:val="00F92A05"/>
    <w:rsid w:val="00F92D7E"/>
    <w:rsid w:val="00F93AF8"/>
    <w:rsid w:val="00F93C45"/>
    <w:rsid w:val="00F93CCD"/>
    <w:rsid w:val="00F940BA"/>
    <w:rsid w:val="00F94974"/>
    <w:rsid w:val="00F94DB6"/>
    <w:rsid w:val="00F9548A"/>
    <w:rsid w:val="00F954AF"/>
    <w:rsid w:val="00F958B8"/>
    <w:rsid w:val="00F9612D"/>
    <w:rsid w:val="00F96725"/>
    <w:rsid w:val="00F96CE3"/>
    <w:rsid w:val="00FA004E"/>
    <w:rsid w:val="00FA076C"/>
    <w:rsid w:val="00FA13F0"/>
    <w:rsid w:val="00FA1724"/>
    <w:rsid w:val="00FA2801"/>
    <w:rsid w:val="00FA2CE0"/>
    <w:rsid w:val="00FA3DF8"/>
    <w:rsid w:val="00FA48A5"/>
    <w:rsid w:val="00FA4943"/>
    <w:rsid w:val="00FA49BF"/>
    <w:rsid w:val="00FA4B0B"/>
    <w:rsid w:val="00FA553A"/>
    <w:rsid w:val="00FA5C2E"/>
    <w:rsid w:val="00FA6045"/>
    <w:rsid w:val="00FB0E7C"/>
    <w:rsid w:val="00FB14C2"/>
    <w:rsid w:val="00FB20F9"/>
    <w:rsid w:val="00FB2C84"/>
    <w:rsid w:val="00FB3312"/>
    <w:rsid w:val="00FB346C"/>
    <w:rsid w:val="00FB5B5D"/>
    <w:rsid w:val="00FB6081"/>
    <w:rsid w:val="00FC0D8C"/>
    <w:rsid w:val="00FC1503"/>
    <w:rsid w:val="00FC17DD"/>
    <w:rsid w:val="00FC1CEA"/>
    <w:rsid w:val="00FC22B9"/>
    <w:rsid w:val="00FC248B"/>
    <w:rsid w:val="00FC3321"/>
    <w:rsid w:val="00FC44FB"/>
    <w:rsid w:val="00FC58C1"/>
    <w:rsid w:val="00FC606F"/>
    <w:rsid w:val="00FC65D2"/>
    <w:rsid w:val="00FC7070"/>
    <w:rsid w:val="00FC7606"/>
    <w:rsid w:val="00FD0C36"/>
    <w:rsid w:val="00FD1880"/>
    <w:rsid w:val="00FD2314"/>
    <w:rsid w:val="00FD2D57"/>
    <w:rsid w:val="00FD39B6"/>
    <w:rsid w:val="00FD3A25"/>
    <w:rsid w:val="00FD40A5"/>
    <w:rsid w:val="00FD4202"/>
    <w:rsid w:val="00FD4658"/>
    <w:rsid w:val="00FD58C5"/>
    <w:rsid w:val="00FD5953"/>
    <w:rsid w:val="00FD7931"/>
    <w:rsid w:val="00FE0D6D"/>
    <w:rsid w:val="00FE1051"/>
    <w:rsid w:val="00FE1BCE"/>
    <w:rsid w:val="00FE3A69"/>
    <w:rsid w:val="00FE3D63"/>
    <w:rsid w:val="00FE5B07"/>
    <w:rsid w:val="00FE5B17"/>
    <w:rsid w:val="00FE6BA7"/>
    <w:rsid w:val="00FE6EDA"/>
    <w:rsid w:val="00FE71EA"/>
    <w:rsid w:val="00FF13AB"/>
    <w:rsid w:val="00FF1E83"/>
    <w:rsid w:val="00FF2540"/>
    <w:rsid w:val="00FF2EB6"/>
    <w:rsid w:val="00FF4A9A"/>
    <w:rsid w:val="00FF5195"/>
    <w:rsid w:val="00FF5B26"/>
    <w:rsid w:val="00FF5CA5"/>
    <w:rsid w:val="00FF689A"/>
    <w:rsid w:val="00FF75B2"/>
    <w:rsid w:val="00FF7A44"/>
    <w:rsid w:val="010F7211"/>
    <w:rsid w:val="01303AC5"/>
    <w:rsid w:val="01396E1E"/>
    <w:rsid w:val="015A3746"/>
    <w:rsid w:val="01F40F97"/>
    <w:rsid w:val="023D0A26"/>
    <w:rsid w:val="026C45AA"/>
    <w:rsid w:val="02723AB8"/>
    <w:rsid w:val="0290306F"/>
    <w:rsid w:val="02E74E49"/>
    <w:rsid w:val="03060EF5"/>
    <w:rsid w:val="045B6255"/>
    <w:rsid w:val="048A77DC"/>
    <w:rsid w:val="048C58BA"/>
    <w:rsid w:val="049A1A1A"/>
    <w:rsid w:val="053F30CD"/>
    <w:rsid w:val="054F70A6"/>
    <w:rsid w:val="06224324"/>
    <w:rsid w:val="0754511F"/>
    <w:rsid w:val="076757F6"/>
    <w:rsid w:val="07CF03BC"/>
    <w:rsid w:val="0ADE62A2"/>
    <w:rsid w:val="0AEC75B0"/>
    <w:rsid w:val="0B8C227D"/>
    <w:rsid w:val="0B9B4146"/>
    <w:rsid w:val="0C2B7B66"/>
    <w:rsid w:val="0C4E7861"/>
    <w:rsid w:val="0C7418A6"/>
    <w:rsid w:val="0CC50D99"/>
    <w:rsid w:val="0D1219EE"/>
    <w:rsid w:val="0D2A5C7F"/>
    <w:rsid w:val="0D845063"/>
    <w:rsid w:val="0D9215CB"/>
    <w:rsid w:val="0DDD12F5"/>
    <w:rsid w:val="0E173441"/>
    <w:rsid w:val="0E1B5D83"/>
    <w:rsid w:val="0E4D10FE"/>
    <w:rsid w:val="0E6B26B6"/>
    <w:rsid w:val="0EAD3E11"/>
    <w:rsid w:val="0EF02863"/>
    <w:rsid w:val="0EF22E88"/>
    <w:rsid w:val="0F304EC9"/>
    <w:rsid w:val="103E1371"/>
    <w:rsid w:val="10616C85"/>
    <w:rsid w:val="110F0353"/>
    <w:rsid w:val="11111393"/>
    <w:rsid w:val="11183C38"/>
    <w:rsid w:val="1123578B"/>
    <w:rsid w:val="115D5DB5"/>
    <w:rsid w:val="11C47C21"/>
    <w:rsid w:val="11D1035D"/>
    <w:rsid w:val="11F404A6"/>
    <w:rsid w:val="11F74937"/>
    <w:rsid w:val="12463C5F"/>
    <w:rsid w:val="12E4398E"/>
    <w:rsid w:val="12F11482"/>
    <w:rsid w:val="13181B4A"/>
    <w:rsid w:val="13BE7FF4"/>
    <w:rsid w:val="144F76D9"/>
    <w:rsid w:val="14517563"/>
    <w:rsid w:val="15BB5243"/>
    <w:rsid w:val="15C46659"/>
    <w:rsid w:val="16250370"/>
    <w:rsid w:val="18100683"/>
    <w:rsid w:val="18563817"/>
    <w:rsid w:val="187872F6"/>
    <w:rsid w:val="18B84E23"/>
    <w:rsid w:val="190D38A8"/>
    <w:rsid w:val="1A5A6A7B"/>
    <w:rsid w:val="1AC00227"/>
    <w:rsid w:val="1ADF2898"/>
    <w:rsid w:val="1B1B00B0"/>
    <w:rsid w:val="1B294A0C"/>
    <w:rsid w:val="1B914AB3"/>
    <w:rsid w:val="1BCA308F"/>
    <w:rsid w:val="1BD00522"/>
    <w:rsid w:val="1C8D5000"/>
    <w:rsid w:val="1CF7429E"/>
    <w:rsid w:val="1CFC5E9D"/>
    <w:rsid w:val="1D3A4B0E"/>
    <w:rsid w:val="1E553B1B"/>
    <w:rsid w:val="1EF17CD8"/>
    <w:rsid w:val="1F0813F5"/>
    <w:rsid w:val="1FC23D03"/>
    <w:rsid w:val="1FE3455A"/>
    <w:rsid w:val="20BB594A"/>
    <w:rsid w:val="211C4EF1"/>
    <w:rsid w:val="214761F1"/>
    <w:rsid w:val="222D660F"/>
    <w:rsid w:val="222D6C14"/>
    <w:rsid w:val="225E33A3"/>
    <w:rsid w:val="226913AF"/>
    <w:rsid w:val="22842AED"/>
    <w:rsid w:val="22CB46F3"/>
    <w:rsid w:val="22E26302"/>
    <w:rsid w:val="23417960"/>
    <w:rsid w:val="2383131F"/>
    <w:rsid w:val="247B060F"/>
    <w:rsid w:val="267F1785"/>
    <w:rsid w:val="272C5650"/>
    <w:rsid w:val="27B56B9E"/>
    <w:rsid w:val="28951445"/>
    <w:rsid w:val="28DB4334"/>
    <w:rsid w:val="29653655"/>
    <w:rsid w:val="296B2486"/>
    <w:rsid w:val="29BA13BF"/>
    <w:rsid w:val="29DE6B72"/>
    <w:rsid w:val="2A321881"/>
    <w:rsid w:val="2A663976"/>
    <w:rsid w:val="2A67345D"/>
    <w:rsid w:val="2B0C4D49"/>
    <w:rsid w:val="2C3C6920"/>
    <w:rsid w:val="2C597E20"/>
    <w:rsid w:val="2CB11955"/>
    <w:rsid w:val="2DC26D36"/>
    <w:rsid w:val="2DC330A0"/>
    <w:rsid w:val="2E3F0F1C"/>
    <w:rsid w:val="2EA51249"/>
    <w:rsid w:val="2F1E2BCF"/>
    <w:rsid w:val="2F28164B"/>
    <w:rsid w:val="2F310336"/>
    <w:rsid w:val="2F8C4878"/>
    <w:rsid w:val="2F9A436A"/>
    <w:rsid w:val="2F9D11A6"/>
    <w:rsid w:val="30FF1002"/>
    <w:rsid w:val="31553722"/>
    <w:rsid w:val="31AE1E59"/>
    <w:rsid w:val="322D16D8"/>
    <w:rsid w:val="329149CE"/>
    <w:rsid w:val="33B466E1"/>
    <w:rsid w:val="34317C19"/>
    <w:rsid w:val="34404A8B"/>
    <w:rsid w:val="34414BCD"/>
    <w:rsid w:val="34EC3828"/>
    <w:rsid w:val="34FF7A14"/>
    <w:rsid w:val="353B0CCF"/>
    <w:rsid w:val="35612188"/>
    <w:rsid w:val="360D0A10"/>
    <w:rsid w:val="36A66E75"/>
    <w:rsid w:val="376033F0"/>
    <w:rsid w:val="37DB6BEB"/>
    <w:rsid w:val="383D287D"/>
    <w:rsid w:val="38B74A16"/>
    <w:rsid w:val="38CA37E7"/>
    <w:rsid w:val="39781038"/>
    <w:rsid w:val="39ED3271"/>
    <w:rsid w:val="39F62651"/>
    <w:rsid w:val="3A9F565D"/>
    <w:rsid w:val="3B2C19D0"/>
    <w:rsid w:val="3B4342DC"/>
    <w:rsid w:val="3C514520"/>
    <w:rsid w:val="3C5B1ED2"/>
    <w:rsid w:val="3C5C0DD2"/>
    <w:rsid w:val="3CD14ED5"/>
    <w:rsid w:val="3CE42A3E"/>
    <w:rsid w:val="3D213EA3"/>
    <w:rsid w:val="3DE767AD"/>
    <w:rsid w:val="3E06382B"/>
    <w:rsid w:val="3E5576BE"/>
    <w:rsid w:val="3EA25E9C"/>
    <w:rsid w:val="3F870E1D"/>
    <w:rsid w:val="3F9765A1"/>
    <w:rsid w:val="3FE91D80"/>
    <w:rsid w:val="40EC6E69"/>
    <w:rsid w:val="41BB600D"/>
    <w:rsid w:val="41CE722B"/>
    <w:rsid w:val="421E684C"/>
    <w:rsid w:val="429553BF"/>
    <w:rsid w:val="42DB3243"/>
    <w:rsid w:val="43B1287C"/>
    <w:rsid w:val="43DB68CC"/>
    <w:rsid w:val="44565141"/>
    <w:rsid w:val="448B56A1"/>
    <w:rsid w:val="44C24D1B"/>
    <w:rsid w:val="454E684A"/>
    <w:rsid w:val="45CD4CD3"/>
    <w:rsid w:val="461A4919"/>
    <w:rsid w:val="46334527"/>
    <w:rsid w:val="463646CC"/>
    <w:rsid w:val="46DD3808"/>
    <w:rsid w:val="4709147B"/>
    <w:rsid w:val="47690A78"/>
    <w:rsid w:val="485915D9"/>
    <w:rsid w:val="48DC5A6F"/>
    <w:rsid w:val="4930632D"/>
    <w:rsid w:val="49635FA8"/>
    <w:rsid w:val="49883905"/>
    <w:rsid w:val="49E361D6"/>
    <w:rsid w:val="4A0D64B8"/>
    <w:rsid w:val="4ABD0770"/>
    <w:rsid w:val="4B27171C"/>
    <w:rsid w:val="4B934163"/>
    <w:rsid w:val="4C0A7DF3"/>
    <w:rsid w:val="4C7C2BB5"/>
    <w:rsid w:val="4C983ADC"/>
    <w:rsid w:val="4D6C26ED"/>
    <w:rsid w:val="4DCE426E"/>
    <w:rsid w:val="4DF8265D"/>
    <w:rsid w:val="4E054AD6"/>
    <w:rsid w:val="4E496324"/>
    <w:rsid w:val="4E7C7A4F"/>
    <w:rsid w:val="4EE905C1"/>
    <w:rsid w:val="501E2913"/>
    <w:rsid w:val="50986E02"/>
    <w:rsid w:val="51B31E62"/>
    <w:rsid w:val="51E44568"/>
    <w:rsid w:val="51E86BC8"/>
    <w:rsid w:val="52237906"/>
    <w:rsid w:val="528C3A7D"/>
    <w:rsid w:val="52AB6F44"/>
    <w:rsid w:val="52ED74EB"/>
    <w:rsid w:val="534C7F4D"/>
    <w:rsid w:val="53872369"/>
    <w:rsid w:val="53D3705A"/>
    <w:rsid w:val="53F5679C"/>
    <w:rsid w:val="54513AF0"/>
    <w:rsid w:val="54CF4F30"/>
    <w:rsid w:val="5558753B"/>
    <w:rsid w:val="55FF666E"/>
    <w:rsid w:val="56812BA5"/>
    <w:rsid w:val="57081B3C"/>
    <w:rsid w:val="57FB4994"/>
    <w:rsid w:val="58100931"/>
    <w:rsid w:val="58473738"/>
    <w:rsid w:val="58666620"/>
    <w:rsid w:val="586C0657"/>
    <w:rsid w:val="587C6A5C"/>
    <w:rsid w:val="58817B35"/>
    <w:rsid w:val="59262FD9"/>
    <w:rsid w:val="5A17616E"/>
    <w:rsid w:val="5A6D2699"/>
    <w:rsid w:val="5A7D66F4"/>
    <w:rsid w:val="5AED57BB"/>
    <w:rsid w:val="5B3A7598"/>
    <w:rsid w:val="5B6E760C"/>
    <w:rsid w:val="5BE02DF6"/>
    <w:rsid w:val="5C082E06"/>
    <w:rsid w:val="5C34451E"/>
    <w:rsid w:val="5CDE4EAE"/>
    <w:rsid w:val="5D3A2DD3"/>
    <w:rsid w:val="5DC9546E"/>
    <w:rsid w:val="5E3612F2"/>
    <w:rsid w:val="5E3C5113"/>
    <w:rsid w:val="5E5A2482"/>
    <w:rsid w:val="5E8A27E8"/>
    <w:rsid w:val="60815CBE"/>
    <w:rsid w:val="60B565E6"/>
    <w:rsid w:val="60E20C1B"/>
    <w:rsid w:val="61484893"/>
    <w:rsid w:val="616D7908"/>
    <w:rsid w:val="61BD5017"/>
    <w:rsid w:val="62B87AE5"/>
    <w:rsid w:val="62D97943"/>
    <w:rsid w:val="63D72AB7"/>
    <w:rsid w:val="64CC3C87"/>
    <w:rsid w:val="64EF7872"/>
    <w:rsid w:val="65E72405"/>
    <w:rsid w:val="674555D6"/>
    <w:rsid w:val="677B58DE"/>
    <w:rsid w:val="67BE3582"/>
    <w:rsid w:val="695B6F05"/>
    <w:rsid w:val="6A146F17"/>
    <w:rsid w:val="6A244C92"/>
    <w:rsid w:val="6C254101"/>
    <w:rsid w:val="6C4E7A00"/>
    <w:rsid w:val="6C7C4027"/>
    <w:rsid w:val="6C907FD5"/>
    <w:rsid w:val="6CC47C1C"/>
    <w:rsid w:val="6D3C3438"/>
    <w:rsid w:val="6DC879AD"/>
    <w:rsid w:val="6E0B4599"/>
    <w:rsid w:val="6FB05A0B"/>
    <w:rsid w:val="705C541A"/>
    <w:rsid w:val="70AC166A"/>
    <w:rsid w:val="70DA05FF"/>
    <w:rsid w:val="713A2D30"/>
    <w:rsid w:val="71BF5220"/>
    <w:rsid w:val="725F6B92"/>
    <w:rsid w:val="727F24C1"/>
    <w:rsid w:val="72974487"/>
    <w:rsid w:val="729E50EF"/>
    <w:rsid w:val="72FA3A07"/>
    <w:rsid w:val="72FD04D2"/>
    <w:rsid w:val="73160A98"/>
    <w:rsid w:val="73252FF8"/>
    <w:rsid w:val="747C20F2"/>
    <w:rsid w:val="747C6C6E"/>
    <w:rsid w:val="75757044"/>
    <w:rsid w:val="759C44B1"/>
    <w:rsid w:val="76000A10"/>
    <w:rsid w:val="769D50C9"/>
    <w:rsid w:val="76B00B7A"/>
    <w:rsid w:val="76CF2FA5"/>
    <w:rsid w:val="76D52B43"/>
    <w:rsid w:val="76FD1894"/>
    <w:rsid w:val="771275D9"/>
    <w:rsid w:val="77212342"/>
    <w:rsid w:val="775A093C"/>
    <w:rsid w:val="78132D87"/>
    <w:rsid w:val="78D0752B"/>
    <w:rsid w:val="79167A3E"/>
    <w:rsid w:val="79862638"/>
    <w:rsid w:val="7A4E7237"/>
    <w:rsid w:val="7A9F73E7"/>
    <w:rsid w:val="7C106E98"/>
    <w:rsid w:val="7C8F65C5"/>
    <w:rsid w:val="7CED256B"/>
    <w:rsid w:val="7D86682F"/>
    <w:rsid w:val="7F4C0ABC"/>
    <w:rsid w:val="7FFA22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4"/>
    <w:autoRedefine/>
    <w:qFormat/>
    <w:uiPriority w:val="99"/>
    <w:pPr>
      <w:keepNext/>
      <w:keepLines/>
      <w:spacing w:before="120" w:after="120"/>
      <w:jc w:val="center"/>
      <w:outlineLvl w:val="0"/>
    </w:pPr>
    <w:rPr>
      <w:b/>
      <w:bCs/>
      <w:kern w:val="44"/>
      <w:sz w:val="28"/>
      <w:szCs w:val="28"/>
    </w:rPr>
  </w:style>
  <w:style w:type="paragraph" w:styleId="3">
    <w:name w:val="heading 2"/>
    <w:basedOn w:val="1"/>
    <w:next w:val="4"/>
    <w:link w:val="65"/>
    <w:autoRedefine/>
    <w:qFormat/>
    <w:uiPriority w:val="99"/>
    <w:pPr>
      <w:keepNext/>
      <w:keepLines/>
      <w:adjustRightInd w:val="0"/>
      <w:spacing w:before="240" w:line="360" w:lineRule="auto"/>
      <w:jc w:val="center"/>
      <w:textAlignment w:val="baseline"/>
      <w:outlineLvl w:val="1"/>
    </w:pPr>
    <w:rPr>
      <w:rFonts w:ascii="Arial" w:hAnsi="Arial" w:eastAsia="黑体" w:cs="Arial"/>
      <w:b/>
      <w:bCs/>
      <w:kern w:val="0"/>
      <w:sz w:val="30"/>
      <w:szCs w:val="30"/>
    </w:rPr>
  </w:style>
  <w:style w:type="paragraph" w:styleId="5">
    <w:name w:val="heading 3"/>
    <w:basedOn w:val="1"/>
    <w:next w:val="4"/>
    <w:link w:val="66"/>
    <w:qFormat/>
    <w:uiPriority w:val="99"/>
    <w:pPr>
      <w:keepNext/>
      <w:keepLines/>
      <w:adjustRightInd w:val="0"/>
      <w:spacing w:before="240" w:after="120" w:line="300" w:lineRule="auto"/>
      <w:jc w:val="left"/>
      <w:textAlignment w:val="baseline"/>
      <w:outlineLvl w:val="2"/>
    </w:pPr>
    <w:rPr>
      <w:b/>
      <w:bCs/>
      <w:kern w:val="0"/>
    </w:rPr>
  </w:style>
  <w:style w:type="paragraph" w:styleId="6">
    <w:name w:val="heading 4"/>
    <w:basedOn w:val="1"/>
    <w:next w:val="4"/>
    <w:link w:val="67"/>
    <w:autoRedefine/>
    <w:qFormat/>
    <w:uiPriority w:val="99"/>
    <w:pPr>
      <w:keepNext/>
      <w:keepLines/>
      <w:spacing w:line="360" w:lineRule="auto"/>
      <w:jc w:val="left"/>
      <w:outlineLvl w:val="3"/>
    </w:pPr>
    <w:rPr>
      <w:rFonts w:ascii="Arial" w:hAnsi="Arial" w:eastAsia="黑体" w:cs="Arial"/>
      <w:b/>
      <w:bCs/>
      <w:sz w:val="28"/>
      <w:szCs w:val="28"/>
    </w:rPr>
  </w:style>
  <w:style w:type="paragraph" w:styleId="7">
    <w:name w:val="heading 5"/>
    <w:basedOn w:val="1"/>
    <w:next w:val="1"/>
    <w:link w:val="68"/>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69"/>
    <w:autoRedefine/>
    <w:qFormat/>
    <w:uiPriority w:val="99"/>
    <w:pPr>
      <w:keepNext/>
      <w:keepLines/>
      <w:spacing w:before="240" w:after="64" w:line="320" w:lineRule="auto"/>
      <w:outlineLvl w:val="5"/>
    </w:pPr>
    <w:rPr>
      <w:rFonts w:ascii="Arial" w:hAnsi="Arial" w:eastAsia="黑体" w:cs="Arial"/>
      <w:b/>
      <w:bCs/>
      <w:sz w:val="24"/>
      <w:szCs w:val="24"/>
    </w:rPr>
  </w:style>
  <w:style w:type="paragraph" w:styleId="9">
    <w:name w:val="heading 7"/>
    <w:basedOn w:val="1"/>
    <w:next w:val="1"/>
    <w:link w:val="70"/>
    <w:qFormat/>
    <w:uiPriority w:val="99"/>
    <w:pPr>
      <w:keepNext/>
      <w:keepLines/>
      <w:spacing w:before="240" w:after="64" w:line="320" w:lineRule="auto"/>
      <w:outlineLvl w:val="6"/>
    </w:pPr>
    <w:rPr>
      <w:b/>
      <w:bCs/>
      <w:sz w:val="24"/>
      <w:szCs w:val="24"/>
    </w:rPr>
  </w:style>
  <w:style w:type="paragraph" w:styleId="10">
    <w:name w:val="heading 8"/>
    <w:basedOn w:val="1"/>
    <w:next w:val="1"/>
    <w:link w:val="71"/>
    <w:autoRedefine/>
    <w:qFormat/>
    <w:uiPriority w:val="99"/>
    <w:pPr>
      <w:keepNext/>
      <w:keepLines/>
      <w:spacing w:before="240" w:after="64" w:line="320" w:lineRule="auto"/>
      <w:outlineLvl w:val="7"/>
    </w:pPr>
    <w:rPr>
      <w:rFonts w:ascii="Arial" w:hAnsi="Arial" w:eastAsia="黑体" w:cs="Arial"/>
      <w:sz w:val="24"/>
      <w:szCs w:val="24"/>
    </w:rPr>
  </w:style>
  <w:style w:type="paragraph" w:styleId="11">
    <w:name w:val="heading 9"/>
    <w:basedOn w:val="1"/>
    <w:next w:val="1"/>
    <w:link w:val="72"/>
    <w:autoRedefine/>
    <w:qFormat/>
    <w:uiPriority w:val="99"/>
    <w:pPr>
      <w:keepNext/>
      <w:keepLines/>
      <w:spacing w:before="240" w:after="64" w:line="320" w:lineRule="auto"/>
      <w:outlineLvl w:val="8"/>
    </w:pPr>
    <w:rPr>
      <w:rFonts w:ascii="Arial" w:hAnsi="Arial" w:eastAsia="黑体" w:cs="Arial"/>
    </w:rPr>
  </w:style>
  <w:style w:type="character" w:default="1" w:styleId="48">
    <w:name w:val="Default Paragraph Font"/>
    <w:autoRedefine/>
    <w:semiHidden/>
    <w:qFormat/>
    <w:uiPriority w:val="99"/>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1"/>
    <w:autoRedefine/>
    <w:qFormat/>
    <w:uiPriority w:val="99"/>
    <w:pPr>
      <w:ind w:firstLine="420"/>
    </w:pPr>
  </w:style>
  <w:style w:type="paragraph" w:styleId="12">
    <w:name w:val="toc 7"/>
    <w:basedOn w:val="1"/>
    <w:next w:val="1"/>
    <w:semiHidden/>
    <w:qFormat/>
    <w:uiPriority w:val="99"/>
    <w:pPr>
      <w:ind w:left="1260"/>
      <w:jc w:val="left"/>
    </w:pPr>
    <w:rPr>
      <w:rFonts w:ascii="Calibri" w:hAnsi="Calibri" w:cs="Calibri"/>
      <w:sz w:val="18"/>
      <w:szCs w:val="18"/>
    </w:rPr>
  </w:style>
  <w:style w:type="paragraph" w:styleId="13">
    <w:name w:val="table of authorities"/>
    <w:basedOn w:val="1"/>
    <w:next w:val="1"/>
    <w:autoRedefine/>
    <w:semiHidden/>
    <w:qFormat/>
    <w:uiPriority w:val="99"/>
    <w:pPr>
      <w:ind w:left="420" w:leftChars="200"/>
    </w:pPr>
  </w:style>
  <w:style w:type="paragraph" w:styleId="14">
    <w:name w:val="Document Map"/>
    <w:basedOn w:val="1"/>
    <w:link w:val="73"/>
    <w:semiHidden/>
    <w:qFormat/>
    <w:uiPriority w:val="99"/>
    <w:rPr>
      <w:rFonts w:ascii="宋体" w:cs="宋体"/>
      <w:sz w:val="18"/>
      <w:szCs w:val="18"/>
    </w:rPr>
  </w:style>
  <w:style w:type="paragraph" w:styleId="15">
    <w:name w:val="annotation text"/>
    <w:basedOn w:val="1"/>
    <w:link w:val="74"/>
    <w:autoRedefine/>
    <w:semiHidden/>
    <w:qFormat/>
    <w:uiPriority w:val="99"/>
    <w:pPr>
      <w:adjustRightInd w:val="0"/>
      <w:spacing w:line="360" w:lineRule="atLeast"/>
      <w:jc w:val="left"/>
      <w:textAlignment w:val="baseline"/>
    </w:pPr>
    <w:rPr>
      <w:kern w:val="0"/>
      <w:sz w:val="24"/>
      <w:szCs w:val="24"/>
    </w:rPr>
  </w:style>
  <w:style w:type="paragraph" w:styleId="16">
    <w:name w:val="Body Text"/>
    <w:basedOn w:val="1"/>
    <w:link w:val="75"/>
    <w:autoRedefine/>
    <w:qFormat/>
    <w:uiPriority w:val="99"/>
    <w:rPr>
      <w:sz w:val="28"/>
      <w:szCs w:val="28"/>
    </w:rPr>
  </w:style>
  <w:style w:type="paragraph" w:styleId="17">
    <w:name w:val="Body Text Indent"/>
    <w:basedOn w:val="1"/>
    <w:link w:val="76"/>
    <w:qFormat/>
    <w:uiPriority w:val="99"/>
    <w:pPr>
      <w:spacing w:after="120"/>
      <w:ind w:left="420" w:leftChars="200"/>
    </w:pPr>
  </w:style>
  <w:style w:type="paragraph" w:styleId="18">
    <w:name w:val="List Continue"/>
    <w:basedOn w:val="1"/>
    <w:qFormat/>
    <w:uiPriority w:val="99"/>
    <w:pPr>
      <w:autoSpaceDE w:val="0"/>
      <w:autoSpaceDN w:val="0"/>
      <w:adjustRightInd w:val="0"/>
      <w:spacing w:after="120" w:line="360" w:lineRule="auto"/>
      <w:ind w:left="420" w:leftChars="200"/>
      <w:jc w:val="left"/>
    </w:pPr>
    <w:rPr>
      <w:rFonts w:ascii="宋体" w:cs="宋体"/>
      <w:kern w:val="0"/>
      <w:sz w:val="24"/>
      <w:szCs w:val="24"/>
    </w:rPr>
  </w:style>
  <w:style w:type="paragraph" w:styleId="19">
    <w:name w:val="Block Text"/>
    <w:basedOn w:val="1"/>
    <w:autoRedefine/>
    <w:qFormat/>
    <w:uiPriority w:val="99"/>
    <w:pPr>
      <w:ind w:left="1440" w:leftChars="700" w:right="700" w:rightChars="700"/>
    </w:pPr>
    <w:rPr>
      <w:rFonts w:ascii="Calibri" w:hAnsi="Calibri" w:cs="Calibri"/>
    </w:rPr>
  </w:style>
  <w:style w:type="paragraph" w:styleId="20">
    <w:name w:val="toc 5"/>
    <w:basedOn w:val="1"/>
    <w:next w:val="1"/>
    <w:autoRedefine/>
    <w:semiHidden/>
    <w:qFormat/>
    <w:uiPriority w:val="99"/>
    <w:pPr>
      <w:ind w:left="840"/>
      <w:jc w:val="left"/>
    </w:pPr>
    <w:rPr>
      <w:rFonts w:ascii="Calibri" w:hAnsi="Calibri" w:cs="Calibri"/>
      <w:sz w:val="18"/>
      <w:szCs w:val="18"/>
    </w:rPr>
  </w:style>
  <w:style w:type="paragraph" w:styleId="21">
    <w:name w:val="toc 3"/>
    <w:basedOn w:val="1"/>
    <w:next w:val="1"/>
    <w:semiHidden/>
    <w:qFormat/>
    <w:uiPriority w:val="99"/>
    <w:pPr>
      <w:ind w:left="420"/>
      <w:jc w:val="left"/>
    </w:pPr>
    <w:rPr>
      <w:rFonts w:ascii="Calibri" w:hAnsi="Calibri" w:cs="Calibri"/>
      <w:i/>
      <w:iCs/>
      <w:sz w:val="20"/>
      <w:szCs w:val="20"/>
    </w:rPr>
  </w:style>
  <w:style w:type="paragraph" w:styleId="22">
    <w:name w:val="Plain Text"/>
    <w:basedOn w:val="1"/>
    <w:link w:val="77"/>
    <w:autoRedefine/>
    <w:qFormat/>
    <w:uiPriority w:val="99"/>
    <w:rPr>
      <w:rFonts w:ascii="宋体" w:hAnsi="Courier New" w:cs="宋体"/>
    </w:rPr>
  </w:style>
  <w:style w:type="paragraph" w:styleId="23">
    <w:name w:val="toc 8"/>
    <w:basedOn w:val="1"/>
    <w:next w:val="1"/>
    <w:semiHidden/>
    <w:qFormat/>
    <w:uiPriority w:val="99"/>
    <w:pPr>
      <w:ind w:left="1470"/>
      <w:jc w:val="left"/>
    </w:pPr>
    <w:rPr>
      <w:rFonts w:ascii="Calibri" w:hAnsi="Calibri" w:cs="Calibri"/>
      <w:sz w:val="18"/>
      <w:szCs w:val="18"/>
    </w:rPr>
  </w:style>
  <w:style w:type="paragraph" w:styleId="24">
    <w:name w:val="Date"/>
    <w:basedOn w:val="1"/>
    <w:next w:val="1"/>
    <w:link w:val="78"/>
    <w:autoRedefine/>
    <w:qFormat/>
    <w:uiPriority w:val="99"/>
  </w:style>
  <w:style w:type="paragraph" w:styleId="25">
    <w:name w:val="Body Text Indent 2"/>
    <w:basedOn w:val="1"/>
    <w:link w:val="79"/>
    <w:autoRedefine/>
    <w:qFormat/>
    <w:uiPriority w:val="99"/>
    <w:pPr>
      <w:spacing w:line="460" w:lineRule="exact"/>
      <w:ind w:firstLine="570"/>
    </w:pPr>
    <w:rPr>
      <w:sz w:val="28"/>
      <w:szCs w:val="28"/>
    </w:rPr>
  </w:style>
  <w:style w:type="paragraph" w:styleId="26">
    <w:name w:val="Balloon Text"/>
    <w:basedOn w:val="1"/>
    <w:link w:val="80"/>
    <w:autoRedefine/>
    <w:semiHidden/>
    <w:qFormat/>
    <w:uiPriority w:val="99"/>
    <w:rPr>
      <w:sz w:val="18"/>
      <w:szCs w:val="18"/>
    </w:rPr>
  </w:style>
  <w:style w:type="paragraph" w:styleId="27">
    <w:name w:val="footer"/>
    <w:basedOn w:val="1"/>
    <w:link w:val="81"/>
    <w:qFormat/>
    <w:uiPriority w:val="99"/>
    <w:pPr>
      <w:tabs>
        <w:tab w:val="center" w:pos="4153"/>
        <w:tab w:val="right" w:pos="8306"/>
      </w:tabs>
      <w:snapToGrid w:val="0"/>
      <w:jc w:val="left"/>
    </w:pPr>
    <w:rPr>
      <w:sz w:val="18"/>
      <w:szCs w:val="18"/>
    </w:rPr>
  </w:style>
  <w:style w:type="paragraph" w:styleId="28">
    <w:name w:val="envelope return"/>
    <w:basedOn w:val="1"/>
    <w:autoRedefine/>
    <w:qFormat/>
    <w:uiPriority w:val="99"/>
    <w:pPr>
      <w:snapToGrid w:val="0"/>
    </w:pPr>
    <w:rPr>
      <w:rFonts w:ascii="Arial" w:hAnsi="Arial" w:cs="Arial"/>
    </w:rPr>
  </w:style>
  <w:style w:type="paragraph" w:styleId="29">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spacing w:before="120" w:after="120"/>
      <w:jc w:val="left"/>
    </w:pPr>
    <w:rPr>
      <w:rFonts w:ascii="Calibri" w:hAnsi="Calibri" w:cs="Calibri"/>
      <w:b/>
      <w:bCs/>
      <w:caps/>
      <w:sz w:val="20"/>
      <w:szCs w:val="20"/>
    </w:rPr>
  </w:style>
  <w:style w:type="paragraph" w:styleId="31">
    <w:name w:val="toc 4"/>
    <w:basedOn w:val="1"/>
    <w:next w:val="1"/>
    <w:autoRedefine/>
    <w:semiHidden/>
    <w:qFormat/>
    <w:uiPriority w:val="99"/>
    <w:pPr>
      <w:ind w:left="630"/>
      <w:jc w:val="left"/>
    </w:pPr>
    <w:rPr>
      <w:rFonts w:ascii="Calibri" w:hAnsi="Calibri" w:cs="Calibri"/>
      <w:sz w:val="18"/>
      <w:szCs w:val="18"/>
    </w:rPr>
  </w:style>
  <w:style w:type="paragraph" w:styleId="32">
    <w:name w:val="Subtitle"/>
    <w:basedOn w:val="1"/>
    <w:next w:val="1"/>
    <w:link w:val="83"/>
    <w:autoRedefine/>
    <w:qFormat/>
    <w:uiPriority w:val="99"/>
    <w:pPr>
      <w:spacing w:before="120" w:after="120"/>
      <w:jc w:val="center"/>
      <w:outlineLvl w:val="1"/>
    </w:pPr>
    <w:rPr>
      <w:rFonts w:ascii="Cambria" w:hAnsi="Cambria" w:cs="Cambria"/>
      <w:b/>
      <w:bCs/>
      <w:kern w:val="28"/>
      <w:sz w:val="24"/>
      <w:szCs w:val="24"/>
    </w:rPr>
  </w:style>
  <w:style w:type="paragraph" w:styleId="33">
    <w:name w:val="toc 6"/>
    <w:basedOn w:val="1"/>
    <w:next w:val="1"/>
    <w:autoRedefine/>
    <w:semiHidden/>
    <w:qFormat/>
    <w:uiPriority w:val="99"/>
    <w:pPr>
      <w:ind w:left="1050"/>
      <w:jc w:val="left"/>
    </w:pPr>
    <w:rPr>
      <w:rFonts w:ascii="Calibri" w:hAnsi="Calibri" w:cs="Calibri"/>
      <w:sz w:val="18"/>
      <w:szCs w:val="18"/>
    </w:rPr>
  </w:style>
  <w:style w:type="paragraph" w:styleId="34">
    <w:name w:val="Body Text Indent 3"/>
    <w:basedOn w:val="1"/>
    <w:link w:val="84"/>
    <w:autoRedefine/>
    <w:qFormat/>
    <w:uiPriority w:val="99"/>
    <w:pPr>
      <w:spacing w:after="120"/>
      <w:ind w:left="420" w:leftChars="200"/>
    </w:pPr>
    <w:rPr>
      <w:sz w:val="16"/>
      <w:szCs w:val="16"/>
    </w:rPr>
  </w:style>
  <w:style w:type="paragraph" w:styleId="35">
    <w:name w:val="toc 2"/>
    <w:basedOn w:val="1"/>
    <w:next w:val="1"/>
    <w:semiHidden/>
    <w:qFormat/>
    <w:uiPriority w:val="99"/>
    <w:pPr>
      <w:ind w:left="210"/>
      <w:jc w:val="left"/>
    </w:pPr>
    <w:rPr>
      <w:rFonts w:ascii="Calibri" w:hAnsi="Calibri" w:cs="Calibri"/>
      <w:smallCaps/>
      <w:sz w:val="20"/>
      <w:szCs w:val="20"/>
    </w:rPr>
  </w:style>
  <w:style w:type="paragraph" w:styleId="36">
    <w:name w:val="toc 9"/>
    <w:basedOn w:val="1"/>
    <w:next w:val="1"/>
    <w:autoRedefine/>
    <w:semiHidden/>
    <w:qFormat/>
    <w:uiPriority w:val="99"/>
    <w:pPr>
      <w:ind w:left="1680"/>
      <w:jc w:val="left"/>
    </w:pPr>
    <w:rPr>
      <w:rFonts w:ascii="Calibri" w:hAnsi="Calibri" w:cs="Calibri"/>
      <w:sz w:val="18"/>
      <w:szCs w:val="18"/>
    </w:rPr>
  </w:style>
  <w:style w:type="paragraph" w:styleId="37">
    <w:name w:val="Body Text 2"/>
    <w:basedOn w:val="1"/>
    <w:link w:val="85"/>
    <w:autoRedefine/>
    <w:qFormat/>
    <w:uiPriority w:val="99"/>
    <w:pPr>
      <w:jc w:val="center"/>
    </w:pPr>
    <w:rPr>
      <w:rFonts w:ascii="宋体" w:hAnsi="Arial" w:cs="宋体"/>
      <w:color w:val="000000"/>
    </w:rPr>
  </w:style>
  <w:style w:type="paragraph" w:styleId="38">
    <w:name w:val="HTML Preformatted"/>
    <w:basedOn w:val="1"/>
    <w:link w:val="86"/>
    <w:qFormat/>
    <w:uiPriority w:val="99"/>
    <w:rPr>
      <w:rFonts w:ascii="Courier New" w:hAnsi="Courier New" w:cs="Courier New"/>
      <w:sz w:val="20"/>
      <w:szCs w:val="20"/>
    </w:rPr>
  </w:style>
  <w:style w:type="paragraph" w:styleId="39">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autoRedefine/>
    <w:semiHidden/>
    <w:qFormat/>
    <w:uiPriority w:val="99"/>
    <w:pPr>
      <w:spacing w:line="360" w:lineRule="auto"/>
    </w:pPr>
  </w:style>
  <w:style w:type="paragraph" w:styleId="41">
    <w:name w:val="index 2"/>
    <w:basedOn w:val="1"/>
    <w:next w:val="1"/>
    <w:autoRedefine/>
    <w:semiHidden/>
    <w:qFormat/>
    <w:uiPriority w:val="99"/>
    <w:pPr>
      <w:spacing w:line="360" w:lineRule="auto"/>
      <w:ind w:left="200" w:leftChars="200"/>
    </w:pPr>
  </w:style>
  <w:style w:type="paragraph" w:styleId="42">
    <w:name w:val="Title"/>
    <w:basedOn w:val="1"/>
    <w:next w:val="1"/>
    <w:link w:val="87"/>
    <w:autoRedefine/>
    <w:qFormat/>
    <w:uiPriority w:val="99"/>
    <w:pPr>
      <w:spacing w:before="240" w:after="60"/>
      <w:jc w:val="center"/>
      <w:outlineLvl w:val="0"/>
    </w:pPr>
    <w:rPr>
      <w:rFonts w:ascii="Cambria" w:hAnsi="Cambria" w:cs="Cambria"/>
      <w:b/>
      <w:bCs/>
      <w:sz w:val="36"/>
      <w:szCs w:val="36"/>
    </w:rPr>
  </w:style>
  <w:style w:type="paragraph" w:styleId="43">
    <w:name w:val="annotation subject"/>
    <w:basedOn w:val="15"/>
    <w:next w:val="15"/>
    <w:link w:val="88"/>
    <w:semiHidden/>
    <w:qFormat/>
    <w:uiPriority w:val="99"/>
    <w:pPr>
      <w:adjustRightInd/>
      <w:spacing w:line="240" w:lineRule="auto"/>
      <w:textAlignment w:val="auto"/>
    </w:pPr>
    <w:rPr>
      <w:b/>
      <w:bCs/>
      <w:kern w:val="2"/>
      <w:sz w:val="21"/>
      <w:szCs w:val="21"/>
    </w:rPr>
  </w:style>
  <w:style w:type="paragraph" w:styleId="44">
    <w:name w:val="Body Text First Indent"/>
    <w:basedOn w:val="16"/>
    <w:link w:val="89"/>
    <w:autoRedefine/>
    <w:qFormat/>
    <w:uiPriority w:val="99"/>
    <w:pPr>
      <w:ind w:firstLine="200" w:firstLineChars="200"/>
    </w:pPr>
    <w:rPr>
      <w:rFonts w:eastAsia="仿宋_GB2312"/>
    </w:rPr>
  </w:style>
  <w:style w:type="paragraph" w:styleId="45">
    <w:name w:val="Body Text First Indent 2"/>
    <w:basedOn w:val="17"/>
    <w:link w:val="90"/>
    <w:autoRedefine/>
    <w:qFormat/>
    <w:uiPriority w:val="99"/>
    <w:pPr>
      <w:ind w:firstLine="420" w:firstLineChars="200"/>
    </w:pPr>
  </w:style>
  <w:style w:type="table" w:styleId="47">
    <w:name w:val="Table Grid"/>
    <w:basedOn w:val="4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99"/>
    <w:rPr>
      <w:b/>
      <w:bCs/>
    </w:rPr>
  </w:style>
  <w:style w:type="character" w:styleId="50">
    <w:name w:val="page number"/>
    <w:basedOn w:val="48"/>
    <w:autoRedefine/>
    <w:qFormat/>
    <w:uiPriority w:val="99"/>
  </w:style>
  <w:style w:type="character" w:styleId="51">
    <w:name w:val="FollowedHyperlink"/>
    <w:basedOn w:val="48"/>
    <w:autoRedefine/>
    <w:qFormat/>
    <w:uiPriority w:val="99"/>
    <w:rPr>
      <w:color w:val="333333"/>
      <w:u w:val="none"/>
    </w:rPr>
  </w:style>
  <w:style w:type="character" w:styleId="52">
    <w:name w:val="Emphasis"/>
    <w:basedOn w:val="48"/>
    <w:autoRedefine/>
    <w:qFormat/>
    <w:uiPriority w:val="99"/>
    <w:rPr>
      <w:color w:val="auto"/>
      <w:sz w:val="18"/>
      <w:szCs w:val="18"/>
    </w:rPr>
  </w:style>
  <w:style w:type="character" w:styleId="53">
    <w:name w:val="HTML Definition"/>
    <w:basedOn w:val="48"/>
    <w:autoRedefine/>
    <w:qFormat/>
    <w:uiPriority w:val="99"/>
  </w:style>
  <w:style w:type="character" w:styleId="54">
    <w:name w:val="HTML Typewriter"/>
    <w:basedOn w:val="48"/>
    <w:autoRedefine/>
    <w:qFormat/>
    <w:uiPriority w:val="99"/>
    <w:rPr>
      <w:rFonts w:ascii="monospace" w:hAnsi="monospace" w:eastAsia="Times New Roman" w:cs="monospace"/>
      <w:sz w:val="20"/>
      <w:szCs w:val="20"/>
      <w:bdr w:val="single" w:color="auto" w:sz="6" w:space="0"/>
      <w:shd w:val="clear" w:color="auto" w:fill="auto"/>
    </w:rPr>
  </w:style>
  <w:style w:type="character" w:styleId="55">
    <w:name w:val="HTML Acronym"/>
    <w:basedOn w:val="48"/>
    <w:autoRedefine/>
    <w:qFormat/>
    <w:uiPriority w:val="99"/>
  </w:style>
  <w:style w:type="character" w:styleId="56">
    <w:name w:val="HTML Variable"/>
    <w:basedOn w:val="48"/>
    <w:autoRedefine/>
    <w:qFormat/>
    <w:uiPriority w:val="99"/>
  </w:style>
  <w:style w:type="character" w:styleId="57">
    <w:name w:val="Hyperlink"/>
    <w:basedOn w:val="48"/>
    <w:qFormat/>
    <w:uiPriority w:val="99"/>
    <w:rPr>
      <w:color w:val="333333"/>
      <w:u w:val="none"/>
    </w:rPr>
  </w:style>
  <w:style w:type="character" w:styleId="58">
    <w:name w:val="HTML Code"/>
    <w:basedOn w:val="48"/>
    <w:autoRedefine/>
    <w:qFormat/>
    <w:uiPriority w:val="99"/>
    <w:rPr>
      <w:rFonts w:ascii="Courier New" w:hAnsi="Courier New" w:cs="Courier New"/>
      <w:sz w:val="20"/>
      <w:szCs w:val="20"/>
    </w:rPr>
  </w:style>
  <w:style w:type="character" w:styleId="59">
    <w:name w:val="annotation reference"/>
    <w:basedOn w:val="48"/>
    <w:autoRedefine/>
    <w:semiHidden/>
    <w:qFormat/>
    <w:uiPriority w:val="99"/>
    <w:rPr>
      <w:sz w:val="21"/>
      <w:szCs w:val="21"/>
    </w:rPr>
  </w:style>
  <w:style w:type="character" w:styleId="60">
    <w:name w:val="HTML Cite"/>
    <w:basedOn w:val="48"/>
    <w:autoRedefine/>
    <w:qFormat/>
    <w:uiPriority w:val="99"/>
  </w:style>
  <w:style w:type="character" w:styleId="61">
    <w:name w:val="footnote reference"/>
    <w:basedOn w:val="48"/>
    <w:autoRedefine/>
    <w:semiHidden/>
    <w:qFormat/>
    <w:uiPriority w:val="99"/>
    <w:rPr>
      <w:vertAlign w:val="superscript"/>
    </w:rPr>
  </w:style>
  <w:style w:type="character" w:styleId="62">
    <w:name w:val="HTML Keyboard"/>
    <w:basedOn w:val="48"/>
    <w:autoRedefine/>
    <w:qFormat/>
    <w:uiPriority w:val="99"/>
    <w:rPr>
      <w:rFonts w:ascii="monospace" w:hAnsi="monospace" w:eastAsia="Times New Roman" w:cs="monospace"/>
      <w:sz w:val="20"/>
      <w:szCs w:val="20"/>
    </w:rPr>
  </w:style>
  <w:style w:type="character" w:styleId="63">
    <w:name w:val="HTML Sample"/>
    <w:basedOn w:val="48"/>
    <w:autoRedefine/>
    <w:qFormat/>
    <w:uiPriority w:val="99"/>
    <w:rPr>
      <w:rFonts w:ascii="monospace" w:hAnsi="monospace" w:eastAsia="Times New Roman" w:cs="monospace"/>
    </w:rPr>
  </w:style>
  <w:style w:type="character" w:customStyle="1" w:styleId="64">
    <w:name w:val="Heading 1 Char"/>
    <w:basedOn w:val="48"/>
    <w:link w:val="2"/>
    <w:autoRedefine/>
    <w:qFormat/>
    <w:locked/>
    <w:uiPriority w:val="99"/>
    <w:rPr>
      <w:b/>
      <w:bCs/>
      <w:kern w:val="44"/>
      <w:sz w:val="44"/>
      <w:szCs w:val="44"/>
    </w:rPr>
  </w:style>
  <w:style w:type="character" w:customStyle="1" w:styleId="65">
    <w:name w:val="Heading 2 Char"/>
    <w:basedOn w:val="48"/>
    <w:link w:val="3"/>
    <w:autoRedefine/>
    <w:qFormat/>
    <w:locked/>
    <w:uiPriority w:val="99"/>
    <w:rPr>
      <w:rFonts w:ascii="Arial" w:hAnsi="Arial" w:eastAsia="黑体" w:cs="Arial"/>
      <w:b/>
      <w:bCs/>
      <w:sz w:val="24"/>
      <w:szCs w:val="24"/>
    </w:rPr>
  </w:style>
  <w:style w:type="character" w:customStyle="1" w:styleId="66">
    <w:name w:val="Heading 3 Char"/>
    <w:basedOn w:val="48"/>
    <w:link w:val="5"/>
    <w:autoRedefine/>
    <w:qFormat/>
    <w:locked/>
    <w:uiPriority w:val="99"/>
    <w:rPr>
      <w:b/>
      <w:bCs/>
      <w:sz w:val="24"/>
      <w:szCs w:val="24"/>
    </w:rPr>
  </w:style>
  <w:style w:type="character" w:customStyle="1" w:styleId="67">
    <w:name w:val="Heading 4 Char"/>
    <w:basedOn w:val="48"/>
    <w:link w:val="6"/>
    <w:autoRedefine/>
    <w:qFormat/>
    <w:locked/>
    <w:uiPriority w:val="99"/>
    <w:rPr>
      <w:rFonts w:ascii="Arial" w:hAnsi="Arial" w:eastAsia="黑体" w:cs="Arial"/>
      <w:b/>
      <w:bCs/>
      <w:kern w:val="2"/>
      <w:sz w:val="28"/>
      <w:szCs w:val="28"/>
    </w:rPr>
  </w:style>
  <w:style w:type="character" w:customStyle="1" w:styleId="68">
    <w:name w:val="Heading 5 Char"/>
    <w:basedOn w:val="48"/>
    <w:link w:val="7"/>
    <w:qFormat/>
    <w:locked/>
    <w:uiPriority w:val="99"/>
    <w:rPr>
      <w:b/>
      <w:bCs/>
      <w:kern w:val="2"/>
      <w:sz w:val="28"/>
      <w:szCs w:val="28"/>
    </w:rPr>
  </w:style>
  <w:style w:type="character" w:customStyle="1" w:styleId="69">
    <w:name w:val="Heading 6 Char"/>
    <w:basedOn w:val="48"/>
    <w:link w:val="8"/>
    <w:autoRedefine/>
    <w:qFormat/>
    <w:locked/>
    <w:uiPriority w:val="99"/>
    <w:rPr>
      <w:rFonts w:ascii="Arial" w:hAnsi="Arial" w:eastAsia="黑体" w:cs="Arial"/>
      <w:b/>
      <w:bCs/>
      <w:kern w:val="2"/>
      <w:sz w:val="24"/>
      <w:szCs w:val="24"/>
    </w:rPr>
  </w:style>
  <w:style w:type="character" w:customStyle="1" w:styleId="70">
    <w:name w:val="Heading 7 Char"/>
    <w:basedOn w:val="48"/>
    <w:link w:val="9"/>
    <w:autoRedefine/>
    <w:qFormat/>
    <w:locked/>
    <w:uiPriority w:val="99"/>
    <w:rPr>
      <w:b/>
      <w:bCs/>
      <w:kern w:val="2"/>
      <w:sz w:val="24"/>
      <w:szCs w:val="24"/>
    </w:rPr>
  </w:style>
  <w:style w:type="character" w:customStyle="1" w:styleId="71">
    <w:name w:val="Heading 8 Char"/>
    <w:basedOn w:val="48"/>
    <w:link w:val="10"/>
    <w:autoRedefine/>
    <w:qFormat/>
    <w:locked/>
    <w:uiPriority w:val="99"/>
    <w:rPr>
      <w:rFonts w:ascii="Arial" w:hAnsi="Arial" w:eastAsia="黑体" w:cs="Arial"/>
      <w:kern w:val="2"/>
      <w:sz w:val="24"/>
      <w:szCs w:val="24"/>
    </w:rPr>
  </w:style>
  <w:style w:type="character" w:customStyle="1" w:styleId="72">
    <w:name w:val="Heading 9 Char"/>
    <w:basedOn w:val="48"/>
    <w:link w:val="11"/>
    <w:autoRedefine/>
    <w:qFormat/>
    <w:locked/>
    <w:uiPriority w:val="99"/>
    <w:rPr>
      <w:rFonts w:ascii="Arial" w:hAnsi="Arial" w:eastAsia="黑体" w:cs="Arial"/>
      <w:kern w:val="2"/>
      <w:sz w:val="21"/>
      <w:szCs w:val="21"/>
    </w:rPr>
  </w:style>
  <w:style w:type="character" w:customStyle="1" w:styleId="73">
    <w:name w:val="Document Map Char"/>
    <w:basedOn w:val="48"/>
    <w:link w:val="14"/>
    <w:qFormat/>
    <w:locked/>
    <w:uiPriority w:val="99"/>
    <w:rPr>
      <w:rFonts w:ascii="宋体" w:cs="宋体"/>
      <w:kern w:val="2"/>
      <w:sz w:val="18"/>
      <w:szCs w:val="18"/>
    </w:rPr>
  </w:style>
  <w:style w:type="character" w:customStyle="1" w:styleId="74">
    <w:name w:val="Comment Text Char"/>
    <w:basedOn w:val="48"/>
    <w:link w:val="15"/>
    <w:semiHidden/>
    <w:qFormat/>
    <w:locked/>
    <w:uiPriority w:val="99"/>
    <w:rPr>
      <w:sz w:val="24"/>
      <w:szCs w:val="24"/>
    </w:rPr>
  </w:style>
  <w:style w:type="character" w:customStyle="1" w:styleId="75">
    <w:name w:val="Body Text Char"/>
    <w:basedOn w:val="48"/>
    <w:link w:val="16"/>
    <w:autoRedefine/>
    <w:semiHidden/>
    <w:qFormat/>
    <w:uiPriority w:val="99"/>
    <w:rPr>
      <w:szCs w:val="21"/>
    </w:rPr>
  </w:style>
  <w:style w:type="character" w:customStyle="1" w:styleId="76">
    <w:name w:val="Body Text Indent Char"/>
    <w:basedOn w:val="48"/>
    <w:link w:val="17"/>
    <w:autoRedefine/>
    <w:semiHidden/>
    <w:qFormat/>
    <w:uiPriority w:val="99"/>
    <w:rPr>
      <w:szCs w:val="21"/>
    </w:rPr>
  </w:style>
  <w:style w:type="character" w:customStyle="1" w:styleId="77">
    <w:name w:val="Plain Text Char"/>
    <w:basedOn w:val="48"/>
    <w:link w:val="22"/>
    <w:autoRedefine/>
    <w:qFormat/>
    <w:locked/>
    <w:uiPriority w:val="99"/>
    <w:rPr>
      <w:rFonts w:ascii="宋体" w:hAnsi="Courier New" w:cs="宋体"/>
      <w:kern w:val="2"/>
      <w:sz w:val="24"/>
      <w:szCs w:val="24"/>
    </w:rPr>
  </w:style>
  <w:style w:type="character" w:customStyle="1" w:styleId="78">
    <w:name w:val="Date Char"/>
    <w:basedOn w:val="48"/>
    <w:link w:val="24"/>
    <w:qFormat/>
    <w:locked/>
    <w:uiPriority w:val="99"/>
    <w:rPr>
      <w:rFonts w:eastAsia="宋体"/>
      <w:kern w:val="2"/>
      <w:sz w:val="24"/>
      <w:szCs w:val="24"/>
      <w:lang w:val="en-US" w:eastAsia="zh-CN"/>
    </w:rPr>
  </w:style>
  <w:style w:type="character" w:customStyle="1" w:styleId="79">
    <w:name w:val="Body Text Indent 2 Char"/>
    <w:basedOn w:val="48"/>
    <w:link w:val="25"/>
    <w:autoRedefine/>
    <w:qFormat/>
    <w:locked/>
    <w:uiPriority w:val="99"/>
    <w:rPr>
      <w:kern w:val="2"/>
      <w:sz w:val="28"/>
      <w:szCs w:val="28"/>
    </w:rPr>
  </w:style>
  <w:style w:type="character" w:customStyle="1" w:styleId="80">
    <w:name w:val="Balloon Text Char"/>
    <w:basedOn w:val="48"/>
    <w:link w:val="26"/>
    <w:semiHidden/>
    <w:qFormat/>
    <w:uiPriority w:val="99"/>
    <w:rPr>
      <w:sz w:val="0"/>
      <w:szCs w:val="0"/>
    </w:rPr>
  </w:style>
  <w:style w:type="character" w:customStyle="1" w:styleId="81">
    <w:name w:val="Footer Char"/>
    <w:basedOn w:val="48"/>
    <w:link w:val="27"/>
    <w:autoRedefine/>
    <w:qFormat/>
    <w:locked/>
    <w:uiPriority w:val="99"/>
    <w:rPr>
      <w:rFonts w:eastAsia="宋体"/>
      <w:kern w:val="2"/>
      <w:sz w:val="18"/>
      <w:szCs w:val="18"/>
      <w:lang w:val="en-US" w:eastAsia="zh-CN"/>
    </w:rPr>
  </w:style>
  <w:style w:type="character" w:customStyle="1" w:styleId="82">
    <w:name w:val="Header Char"/>
    <w:basedOn w:val="48"/>
    <w:link w:val="29"/>
    <w:autoRedefine/>
    <w:qFormat/>
    <w:locked/>
    <w:uiPriority w:val="99"/>
    <w:rPr>
      <w:kern w:val="2"/>
      <w:sz w:val="18"/>
      <w:szCs w:val="18"/>
      <w:lang w:val="en-US" w:eastAsia="zh-CN"/>
    </w:rPr>
  </w:style>
  <w:style w:type="character" w:customStyle="1" w:styleId="83">
    <w:name w:val="Subtitle Char"/>
    <w:basedOn w:val="48"/>
    <w:link w:val="32"/>
    <w:qFormat/>
    <w:locked/>
    <w:uiPriority w:val="99"/>
    <w:rPr>
      <w:rFonts w:ascii="Cambria" w:hAnsi="Cambria" w:cs="Cambria"/>
      <w:b/>
      <w:bCs/>
      <w:kern w:val="28"/>
      <w:sz w:val="32"/>
      <w:szCs w:val="32"/>
    </w:rPr>
  </w:style>
  <w:style w:type="character" w:customStyle="1" w:styleId="84">
    <w:name w:val="Body Text Indent 3 Char"/>
    <w:basedOn w:val="48"/>
    <w:link w:val="34"/>
    <w:autoRedefine/>
    <w:semiHidden/>
    <w:qFormat/>
    <w:uiPriority w:val="99"/>
    <w:rPr>
      <w:sz w:val="16"/>
      <w:szCs w:val="16"/>
    </w:rPr>
  </w:style>
  <w:style w:type="character" w:customStyle="1" w:styleId="85">
    <w:name w:val="Body Text 2 Char"/>
    <w:basedOn w:val="48"/>
    <w:link w:val="37"/>
    <w:autoRedefine/>
    <w:semiHidden/>
    <w:qFormat/>
    <w:uiPriority w:val="99"/>
    <w:rPr>
      <w:szCs w:val="21"/>
    </w:rPr>
  </w:style>
  <w:style w:type="character" w:customStyle="1" w:styleId="86">
    <w:name w:val="HTML Preformatted Char"/>
    <w:basedOn w:val="48"/>
    <w:link w:val="38"/>
    <w:autoRedefine/>
    <w:qFormat/>
    <w:locked/>
    <w:uiPriority w:val="99"/>
    <w:rPr>
      <w:rFonts w:ascii="Courier New" w:hAnsi="Courier New" w:cs="Courier New"/>
      <w:kern w:val="2"/>
    </w:rPr>
  </w:style>
  <w:style w:type="character" w:customStyle="1" w:styleId="87">
    <w:name w:val="Title Char"/>
    <w:basedOn w:val="48"/>
    <w:link w:val="42"/>
    <w:autoRedefine/>
    <w:qFormat/>
    <w:locked/>
    <w:uiPriority w:val="99"/>
    <w:rPr>
      <w:rFonts w:ascii="Cambria" w:hAnsi="Cambria" w:cs="Cambria"/>
      <w:b/>
      <w:bCs/>
      <w:kern w:val="2"/>
      <w:sz w:val="32"/>
      <w:szCs w:val="32"/>
    </w:rPr>
  </w:style>
  <w:style w:type="character" w:customStyle="1" w:styleId="88">
    <w:name w:val="Comment Subject Char"/>
    <w:basedOn w:val="74"/>
    <w:link w:val="43"/>
    <w:autoRedefine/>
    <w:qFormat/>
    <w:locked/>
    <w:uiPriority w:val="99"/>
    <w:rPr>
      <w:b/>
      <w:bCs/>
      <w:kern w:val="2"/>
    </w:rPr>
  </w:style>
  <w:style w:type="character" w:customStyle="1" w:styleId="89">
    <w:name w:val="Body Text First Indent Char"/>
    <w:basedOn w:val="75"/>
    <w:link w:val="44"/>
    <w:semiHidden/>
    <w:qFormat/>
    <w:uiPriority w:val="99"/>
  </w:style>
  <w:style w:type="character" w:customStyle="1" w:styleId="90">
    <w:name w:val="Body Text First Indent 2 Char"/>
    <w:basedOn w:val="76"/>
    <w:link w:val="45"/>
    <w:autoRedefine/>
    <w:semiHidden/>
    <w:qFormat/>
    <w:uiPriority w:val="99"/>
  </w:style>
  <w:style w:type="character" w:customStyle="1" w:styleId="91">
    <w:name w:val="Normal Indent Char"/>
    <w:link w:val="4"/>
    <w:autoRedefine/>
    <w:qFormat/>
    <w:locked/>
    <w:uiPriority w:val="99"/>
    <w:rPr>
      <w:kern w:val="2"/>
      <w:sz w:val="24"/>
      <w:szCs w:val="24"/>
    </w:rPr>
  </w:style>
  <w:style w:type="character" w:customStyle="1" w:styleId="92">
    <w:name w:val="Char Char19"/>
    <w:autoRedefine/>
    <w:qFormat/>
    <w:uiPriority w:val="99"/>
    <w:rPr>
      <w:rFonts w:ascii="Arial" w:hAnsi="Arial" w:cs="Arial"/>
      <w:b/>
      <w:bCs/>
      <w:kern w:val="2"/>
      <w:sz w:val="28"/>
      <w:szCs w:val="28"/>
    </w:rPr>
  </w:style>
  <w:style w:type="paragraph" w:customStyle="1" w:styleId="93">
    <w:name w:val="TOC 标题1"/>
    <w:basedOn w:val="2"/>
    <w:next w:val="1"/>
    <w:qFormat/>
    <w:uiPriority w:val="99"/>
    <w:pPr>
      <w:widowControl/>
      <w:spacing w:before="480" w:after="0" w:line="276" w:lineRule="auto"/>
      <w:outlineLvl w:val="9"/>
    </w:pPr>
    <w:rPr>
      <w:rFonts w:ascii="Cambria" w:hAnsi="Cambria" w:cs="Cambria"/>
      <w:color w:val="365F91"/>
      <w:kern w:val="0"/>
    </w:rPr>
  </w:style>
  <w:style w:type="paragraph" w:customStyle="1" w:styleId="94">
    <w:name w:val="BodyText"/>
    <w:basedOn w:val="1"/>
    <w:autoRedefine/>
    <w:qFormat/>
    <w:uiPriority w:val="99"/>
    <w:pPr>
      <w:ind w:left="109"/>
      <w:textAlignment w:val="baseline"/>
    </w:pPr>
    <w:rPr>
      <w:rFonts w:ascii="宋体" w:hAnsi="宋体" w:cs="宋体"/>
      <w:sz w:val="32"/>
      <w:szCs w:val="32"/>
      <w:lang w:val="zh-CN"/>
    </w:rPr>
  </w:style>
  <w:style w:type="character" w:customStyle="1" w:styleId="95">
    <w:name w:val="标题 1 Char1"/>
    <w:autoRedefine/>
    <w:qFormat/>
    <w:uiPriority w:val="99"/>
    <w:rPr>
      <w:rFonts w:ascii="宋体" w:hAnsi="宋体" w:eastAsia="宋体" w:cs="宋体"/>
      <w:b/>
      <w:bCs/>
      <w:kern w:val="44"/>
      <w:sz w:val="32"/>
      <w:szCs w:val="32"/>
    </w:rPr>
  </w:style>
  <w:style w:type="character" w:customStyle="1" w:styleId="96">
    <w:name w:val="样式 标题 1 + 加粗 Char"/>
    <w:autoRedefine/>
    <w:qFormat/>
    <w:uiPriority w:val="99"/>
    <w:rPr>
      <w:rFonts w:eastAsia="黑体"/>
      <w:b/>
      <w:bCs/>
      <w:kern w:val="44"/>
      <w:sz w:val="28"/>
      <w:szCs w:val="28"/>
      <w:lang w:val="en-US" w:eastAsia="zh-CN"/>
    </w:rPr>
  </w:style>
  <w:style w:type="character" w:customStyle="1" w:styleId="97">
    <w:name w:val="Char Char1"/>
    <w:autoRedefine/>
    <w:qFormat/>
    <w:uiPriority w:val="99"/>
    <w:rPr>
      <w:rFonts w:eastAsia="宋体"/>
      <w:b/>
      <w:bCs/>
      <w:kern w:val="44"/>
      <w:sz w:val="44"/>
      <w:szCs w:val="44"/>
      <w:lang w:val="en-US" w:eastAsia="zh-CN"/>
    </w:rPr>
  </w:style>
  <w:style w:type="character" w:customStyle="1" w:styleId="98">
    <w:name w:val="Char Char"/>
    <w:qFormat/>
    <w:uiPriority w:val="99"/>
    <w:rPr>
      <w:rFonts w:ascii="Arial" w:hAnsi="Arial" w:eastAsia="宋体" w:cs="Arial"/>
      <w:b/>
      <w:bCs/>
      <w:kern w:val="2"/>
      <w:sz w:val="32"/>
      <w:szCs w:val="32"/>
      <w:lang w:val="en-US" w:eastAsia="zh-CN"/>
    </w:rPr>
  </w:style>
  <w:style w:type="character" w:customStyle="1" w:styleId="99">
    <w:name w:val="th_font1"/>
    <w:autoRedefine/>
    <w:qFormat/>
    <w:uiPriority w:val="99"/>
    <w:rPr>
      <w:color w:val="333333"/>
      <w:sz w:val="18"/>
      <w:szCs w:val="18"/>
      <w:u w:val="none"/>
    </w:rPr>
  </w:style>
  <w:style w:type="character" w:customStyle="1" w:styleId="100">
    <w:name w:val="纯文本 Char1"/>
    <w:qFormat/>
    <w:uiPriority w:val="99"/>
    <w:rPr>
      <w:rFonts w:ascii="宋体" w:hAnsi="Courier New" w:cs="宋体"/>
      <w:kern w:val="2"/>
      <w:sz w:val="24"/>
      <w:szCs w:val="24"/>
    </w:rPr>
  </w:style>
  <w:style w:type="character" w:customStyle="1" w:styleId="101">
    <w:name w:val="apple-converted-space"/>
    <w:autoRedefine/>
    <w:qFormat/>
    <w:uiPriority w:val="99"/>
  </w:style>
  <w:style w:type="character" w:customStyle="1" w:styleId="102">
    <w:name w:val="标题 2 Char1"/>
    <w:autoRedefine/>
    <w:qFormat/>
    <w:uiPriority w:val="99"/>
    <w:rPr>
      <w:rFonts w:ascii="Arial" w:hAnsi="Arial" w:eastAsia="宋体" w:cs="Arial"/>
      <w:b/>
      <w:bCs/>
      <w:sz w:val="32"/>
      <w:szCs w:val="32"/>
    </w:rPr>
  </w:style>
  <w:style w:type="paragraph" w:customStyle="1" w:styleId="103">
    <w:name w:val="_Style 29"/>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04">
    <w:name w:val="【正文】"/>
    <w:basedOn w:val="1"/>
    <w:qFormat/>
    <w:uiPriority w:val="99"/>
    <w:pPr>
      <w:spacing w:line="360" w:lineRule="auto"/>
      <w:ind w:firstLine="480" w:firstLineChars="200"/>
    </w:pPr>
    <w:rPr>
      <w:sz w:val="24"/>
      <w:szCs w:val="24"/>
    </w:rPr>
  </w:style>
  <w:style w:type="paragraph" w:customStyle="1" w:styleId="105">
    <w:name w:val="Char Char Char Char"/>
    <w:basedOn w:val="39"/>
    <w:next w:val="1"/>
    <w:autoRedefine/>
    <w:qFormat/>
    <w:uiPriority w:val="99"/>
    <w:pPr>
      <w:widowControl w:val="0"/>
      <w:shd w:val="clear" w:color="auto" w:fill="000080"/>
      <w:adjustRightInd w:val="0"/>
      <w:snapToGrid w:val="0"/>
      <w:spacing w:before="0" w:beforeAutospacing="0" w:after="0" w:afterAutospacing="0" w:line="360" w:lineRule="auto"/>
      <w:jc w:val="both"/>
    </w:pPr>
    <w:rPr>
      <w:kern w:val="2"/>
    </w:rPr>
  </w:style>
  <w:style w:type="paragraph" w:customStyle="1" w:styleId="106">
    <w:name w:val="样式 标题 1 + 首行缩进:  2 字符 段前: 1 行 段后: 1 行"/>
    <w:basedOn w:val="2"/>
    <w:qFormat/>
    <w:uiPriority w:val="99"/>
    <w:pPr>
      <w:keepNext w:val="0"/>
      <w:keepLines w:val="0"/>
      <w:spacing w:beforeLines="100" w:afterLines="100"/>
      <w:jc w:val="both"/>
    </w:pPr>
    <w:rPr>
      <w:rFonts w:ascii="宋体" w:hAnsi="宋体" w:cs="宋体"/>
      <w:sz w:val="24"/>
      <w:szCs w:val="24"/>
    </w:rPr>
  </w:style>
  <w:style w:type="paragraph" w:customStyle="1" w:styleId="107">
    <w:name w:val="_Style 1"/>
    <w:basedOn w:val="1"/>
    <w:autoRedefine/>
    <w:qFormat/>
    <w:uiPriority w:val="99"/>
    <w:pPr>
      <w:ind w:firstLine="420" w:firstLineChars="200"/>
    </w:pPr>
  </w:style>
  <w:style w:type="paragraph" w:customStyle="1" w:styleId="108">
    <w:name w:val="p0"/>
    <w:basedOn w:val="1"/>
    <w:autoRedefine/>
    <w:qFormat/>
    <w:uiPriority w:val="99"/>
    <w:pPr>
      <w:widowControl/>
    </w:pPr>
    <w:rPr>
      <w:kern w:val="0"/>
    </w:rPr>
  </w:style>
  <w:style w:type="paragraph" w:customStyle="1" w:styleId="109">
    <w:name w:val="样式1"/>
    <w:basedOn w:val="1"/>
    <w:autoRedefine/>
    <w:qFormat/>
    <w:uiPriority w:val="99"/>
    <w:pPr>
      <w:numPr>
        <w:ilvl w:val="0"/>
        <w:numId w:val="1"/>
      </w:numPr>
      <w:tabs>
        <w:tab w:val="left" w:pos="709"/>
        <w:tab w:val="clear" w:pos="1200"/>
      </w:tabs>
      <w:adjustRightInd w:val="0"/>
      <w:textAlignment w:val="baseline"/>
    </w:pPr>
    <w:rPr>
      <w:rFonts w:ascii="宋体" w:hAnsi="宋体" w:cs="宋体"/>
      <w:kern w:val="0"/>
    </w:rPr>
  </w:style>
  <w:style w:type="paragraph" w:customStyle="1" w:styleId="110">
    <w:name w:val="样式"/>
    <w:autoRedefine/>
    <w:qFormat/>
    <w:uiPriority w:val="99"/>
    <w:pPr>
      <w:widowControl w:val="0"/>
      <w:autoSpaceDE w:val="0"/>
      <w:autoSpaceDN w:val="0"/>
      <w:adjustRightInd w:val="0"/>
      <w:spacing w:after="200" w:line="276" w:lineRule="auto"/>
      <w:jc w:val="both"/>
    </w:pPr>
    <w:rPr>
      <w:rFonts w:ascii="宋体" w:hAnsi="Times New Roman" w:eastAsia="宋体" w:cs="宋体"/>
      <w:kern w:val="0"/>
      <w:sz w:val="24"/>
      <w:szCs w:val="24"/>
      <w:lang w:val="en-US" w:eastAsia="en-US" w:bidi="ar-SA"/>
    </w:rPr>
  </w:style>
  <w:style w:type="paragraph" w:customStyle="1" w:styleId="111">
    <w:name w:val="Default"/>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12">
    <w:name w:val="1"/>
    <w:basedOn w:val="1"/>
    <w:next w:val="16"/>
    <w:autoRedefine/>
    <w:qFormat/>
    <w:uiPriority w:val="99"/>
    <w:pPr>
      <w:autoSpaceDE w:val="0"/>
      <w:autoSpaceDN w:val="0"/>
      <w:adjustRightInd w:val="0"/>
      <w:spacing w:line="360" w:lineRule="auto"/>
      <w:jc w:val="left"/>
      <w:textAlignment w:val="baseline"/>
    </w:pPr>
    <w:rPr>
      <w:rFonts w:ascii="宋体" w:cs="宋体"/>
      <w:kern w:val="0"/>
      <w:sz w:val="28"/>
      <w:szCs w:val="28"/>
    </w:rPr>
  </w:style>
  <w:style w:type="paragraph" w:customStyle="1" w:styleId="113">
    <w:name w:val="样式 标题 2 + Times New Roman 四号 非加粗 段前: 5 磅 段后: 0 磅 行距: 固定值 20..."/>
    <w:basedOn w:val="3"/>
    <w:autoRedefine/>
    <w:qFormat/>
    <w:uiPriority w:val="99"/>
    <w:pPr>
      <w:adjustRightInd/>
      <w:spacing w:before="100" w:line="400" w:lineRule="exact"/>
      <w:textAlignment w:val="auto"/>
    </w:pPr>
    <w:rPr>
      <w:rFonts w:ascii="Times New Roman" w:hAnsi="Times New Roman" w:eastAsia="宋体" w:cs="Times New Roman"/>
      <w:sz w:val="28"/>
      <w:szCs w:val="28"/>
    </w:rPr>
  </w:style>
  <w:style w:type="paragraph" w:customStyle="1" w:styleId="114">
    <w:name w:val="标3"/>
    <w:basedOn w:val="1"/>
    <w:autoRedefine/>
    <w:qFormat/>
    <w:uiPriority w:val="99"/>
    <w:pPr>
      <w:tabs>
        <w:tab w:val="left" w:pos="1740"/>
      </w:tabs>
      <w:adjustRightInd w:val="0"/>
      <w:snapToGrid w:val="0"/>
      <w:spacing w:before="50" w:line="360" w:lineRule="auto"/>
      <w:ind w:left="1740" w:hanging="420"/>
      <w:outlineLvl w:val="2"/>
    </w:pPr>
    <w:rPr>
      <w:rFonts w:ascii="Arial Narrow" w:hAnsi="Arial Narrow" w:eastAsia="仿宋_GB2312" w:cs="Arial Narrow"/>
      <w:sz w:val="28"/>
      <w:szCs w:val="28"/>
    </w:rPr>
  </w:style>
  <w:style w:type="paragraph" w:styleId="115">
    <w:name w:val="List Paragraph"/>
    <w:basedOn w:val="1"/>
    <w:autoRedefine/>
    <w:qFormat/>
    <w:uiPriority w:val="99"/>
    <w:pPr>
      <w:ind w:firstLine="420" w:firstLineChars="200"/>
    </w:pPr>
  </w:style>
  <w:style w:type="paragraph" w:customStyle="1" w:styleId="116">
    <w:name w:val="Normal1"/>
    <w:autoRedefine/>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117">
    <w:name w:val="样式 标题 1 + 加粗"/>
    <w:basedOn w:val="2"/>
    <w:autoRedefine/>
    <w:qFormat/>
    <w:uiPriority w:val="99"/>
    <w:pPr>
      <w:spacing w:before="100" w:after="100"/>
      <w:jc w:val="both"/>
    </w:pPr>
    <w:rPr>
      <w:rFonts w:eastAsia="黑体"/>
    </w:rPr>
  </w:style>
  <w:style w:type="paragraph" w:customStyle="1" w:styleId="118">
    <w:name w:val="样式 样式 标题 2 + 段前: 0.5 行 段后: 0.5 行 + 首行缩进:  2 字符 段前: 0.5 行 段后: 0..."/>
    <w:basedOn w:val="1"/>
    <w:qFormat/>
    <w:uiPriority w:val="99"/>
    <w:pPr>
      <w:keepNext/>
      <w:keepLines/>
      <w:spacing w:beforeLines="50" w:afterLines="50"/>
      <w:outlineLvl w:val="1"/>
    </w:pPr>
    <w:rPr>
      <w:rFonts w:hAnsi="宋体"/>
      <w:b/>
      <w:bCs/>
      <w:sz w:val="24"/>
      <w:szCs w:val="24"/>
    </w:rPr>
  </w:style>
  <w:style w:type="paragraph" w:customStyle="1" w:styleId="119">
    <w:name w:val="样式3"/>
    <w:basedOn w:val="22"/>
    <w:autoRedefine/>
    <w:qFormat/>
    <w:uiPriority w:val="99"/>
    <w:pPr>
      <w:spacing w:line="240" w:lineRule="atLeast"/>
      <w:outlineLvl w:val="0"/>
    </w:pPr>
    <w:rPr>
      <w:sz w:val="28"/>
      <w:szCs w:val="28"/>
    </w:rPr>
  </w:style>
  <w:style w:type="paragraph" w:customStyle="1" w:styleId="120">
    <w:name w:val="没有缩进（为图形使用）"/>
    <w:basedOn w:val="1"/>
    <w:autoRedefine/>
    <w:qFormat/>
    <w:uiPriority w:val="99"/>
    <w:pPr>
      <w:spacing w:before="120" w:after="120" w:line="360" w:lineRule="auto"/>
    </w:pPr>
    <w:rPr>
      <w:sz w:val="24"/>
      <w:szCs w:val="24"/>
    </w:rPr>
  </w:style>
  <w:style w:type="paragraph" w:customStyle="1" w:styleId="121">
    <w:name w:val="Char"/>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22">
    <w:name w:val="标题4"/>
    <w:basedOn w:val="1"/>
    <w:qFormat/>
    <w:uiPriority w:val="99"/>
    <w:pPr>
      <w:spacing w:beforeLines="100" w:afterLines="100" w:line="360" w:lineRule="auto"/>
    </w:pPr>
    <w:rPr>
      <w:sz w:val="28"/>
      <w:szCs w:val="28"/>
    </w:rPr>
  </w:style>
  <w:style w:type="paragraph" w:customStyle="1" w:styleId="123">
    <w:name w:val="注"/>
    <w:basedOn w:val="1"/>
    <w:autoRedefine/>
    <w:qFormat/>
    <w:uiPriority w:val="99"/>
    <w:pPr>
      <w:adjustRightInd w:val="0"/>
      <w:spacing w:line="420" w:lineRule="atLeast"/>
      <w:ind w:firstLine="340"/>
      <w:textAlignment w:val="baseline"/>
    </w:pPr>
    <w:rPr>
      <w:kern w:val="0"/>
      <w:sz w:val="18"/>
      <w:szCs w:val="18"/>
    </w:rPr>
  </w:style>
  <w:style w:type="paragraph" w:customStyle="1" w:styleId="124">
    <w:name w:val="列出段落1"/>
    <w:basedOn w:val="1"/>
    <w:autoRedefine/>
    <w:qFormat/>
    <w:uiPriority w:val="99"/>
    <w:pPr>
      <w:spacing w:line="360" w:lineRule="auto"/>
      <w:ind w:firstLine="420" w:firstLineChars="200"/>
    </w:pPr>
    <w:rPr>
      <w:rFonts w:ascii="Calibri" w:hAnsi="Calibri" w:cs="Calibri"/>
    </w:rPr>
  </w:style>
  <w:style w:type="paragraph" w:customStyle="1" w:styleId="125">
    <w:name w:val="Char 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样式 标题 2 + 宋体 五号 非加粗 黑色"/>
    <w:basedOn w:val="3"/>
    <w:qFormat/>
    <w:uiPriority w:val="99"/>
    <w:pPr>
      <w:spacing w:before="260" w:after="260" w:line="416" w:lineRule="atLeast"/>
      <w:jc w:val="left"/>
    </w:pPr>
    <w:rPr>
      <w:rFonts w:ascii="宋体" w:hAnsi="宋体" w:eastAsia="宋体" w:cs="宋体"/>
      <w:b w:val="0"/>
      <w:bCs w:val="0"/>
      <w:color w:val="000000"/>
      <w:sz w:val="21"/>
      <w:szCs w:val="21"/>
    </w:rPr>
  </w:style>
  <w:style w:type="paragraph" w:customStyle="1" w:styleId="127">
    <w:name w:val="msonormalcxspmiddle"/>
    <w:basedOn w:val="1"/>
    <w:qFormat/>
    <w:uiPriority w:val="99"/>
    <w:pPr>
      <w:widowControl/>
      <w:spacing w:before="100" w:beforeAutospacing="1" w:after="100" w:afterAutospacing="1"/>
      <w:jc w:val="left"/>
    </w:pPr>
    <w:rPr>
      <w:rFonts w:ascii="宋体" w:cs="宋体"/>
      <w:kern w:val="0"/>
    </w:rPr>
  </w:style>
  <w:style w:type="paragraph" w:customStyle="1" w:styleId="128">
    <w:name w:val="表中"/>
    <w:basedOn w:val="1"/>
    <w:autoRedefine/>
    <w:qFormat/>
    <w:uiPriority w:val="99"/>
    <w:pPr>
      <w:adjustRightInd w:val="0"/>
      <w:snapToGrid w:val="0"/>
      <w:spacing w:line="420" w:lineRule="atLeast"/>
      <w:jc w:val="center"/>
      <w:textAlignment w:val="baseline"/>
    </w:pPr>
    <w:rPr>
      <w:kern w:val="0"/>
    </w:rPr>
  </w:style>
  <w:style w:type="paragraph" w:customStyle="1" w:styleId="12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table" w:customStyle="1" w:styleId="130">
    <w:name w:val="Table Normal1"/>
    <w:semiHidden/>
    <w:qFormat/>
    <w:uiPriority w:val="99"/>
    <w:rPr>
      <w:rFonts w:ascii="Calibri" w:hAnsi="Calibri" w:cs="Calibri"/>
      <w:szCs w:val="21"/>
    </w:rPr>
    <w:tblPr>
      <w:tblCellMar>
        <w:top w:w="0" w:type="dxa"/>
        <w:left w:w="108" w:type="dxa"/>
        <w:bottom w:w="0" w:type="dxa"/>
        <w:right w:w="108" w:type="dxa"/>
      </w:tblCellMar>
    </w:tblPr>
  </w:style>
  <w:style w:type="paragraph" w:customStyle="1" w:styleId="131">
    <w:name w:val="图"/>
    <w:basedOn w:val="1"/>
    <w:autoRedefine/>
    <w:qFormat/>
    <w:uiPriority w:val="99"/>
    <w:pPr>
      <w:keepNext/>
      <w:adjustRightInd w:val="0"/>
      <w:spacing w:before="60" w:after="60" w:line="300" w:lineRule="auto"/>
      <w:jc w:val="center"/>
      <w:textAlignment w:val="center"/>
    </w:pPr>
    <w:rPr>
      <w:spacing w:val="20"/>
      <w:kern w:val="0"/>
    </w:rPr>
  </w:style>
  <w:style w:type="paragraph" w:customStyle="1" w:styleId="132">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33">
    <w:name w:val="WPSOffice手动目录 3"/>
    <w:autoRedefine/>
    <w:qFormat/>
    <w:uiPriority w:val="99"/>
    <w:pPr>
      <w:ind w:left="400" w:leftChars="400"/>
    </w:pPr>
    <w:rPr>
      <w:rFonts w:ascii="Times New Roman" w:hAnsi="Times New Roman" w:eastAsia="宋体" w:cs="Times New Roman"/>
      <w:kern w:val="0"/>
      <w:sz w:val="20"/>
      <w:szCs w:val="20"/>
      <w:lang w:val="en-US" w:eastAsia="zh-CN" w:bidi="ar-SA"/>
    </w:rPr>
  </w:style>
  <w:style w:type="paragraph" w:customStyle="1" w:styleId="134">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character" w:customStyle="1" w:styleId="135">
    <w:name w:val="font11"/>
    <w:autoRedefine/>
    <w:qFormat/>
    <w:uiPriority w:val="99"/>
    <w:rPr>
      <w:rFonts w:ascii="宋体" w:hAnsi="宋体" w:eastAsia="宋体" w:cs="宋体"/>
      <w:color w:val="000000"/>
      <w:sz w:val="20"/>
      <w:szCs w:val="20"/>
      <w:u w:val="none"/>
    </w:rPr>
  </w:style>
  <w:style w:type="character" w:customStyle="1" w:styleId="136">
    <w:name w:val="font31"/>
    <w:autoRedefine/>
    <w:qFormat/>
    <w:uiPriority w:val="99"/>
    <w:rPr>
      <w:rFonts w:ascii="宋体" w:hAnsi="宋体" w:eastAsia="宋体" w:cs="宋体"/>
      <w:b/>
      <w:bCs/>
      <w:color w:val="000000"/>
      <w:sz w:val="20"/>
      <w:szCs w:val="20"/>
      <w:u w:val="none"/>
    </w:rPr>
  </w:style>
  <w:style w:type="character" w:customStyle="1" w:styleId="137">
    <w:name w:val="font01"/>
    <w:autoRedefine/>
    <w:qFormat/>
    <w:uiPriority w:val="99"/>
    <w:rPr>
      <w:rFonts w:ascii="宋体" w:hAnsi="宋体" w:eastAsia="宋体" w:cs="宋体"/>
      <w:color w:val="000000"/>
      <w:sz w:val="20"/>
      <w:szCs w:val="20"/>
      <w:u w:val="none"/>
    </w:rPr>
  </w:style>
  <w:style w:type="character" w:customStyle="1" w:styleId="138">
    <w:name w:val="font21"/>
    <w:autoRedefine/>
    <w:qFormat/>
    <w:uiPriority w:val="99"/>
    <w:rPr>
      <w:rFonts w:ascii="宋体" w:hAnsi="宋体" w:eastAsia="宋体" w:cs="宋体"/>
      <w:color w:val="000000"/>
      <w:sz w:val="20"/>
      <w:szCs w:val="20"/>
      <w:u w:val="none"/>
    </w:rPr>
  </w:style>
  <w:style w:type="paragraph" w:customStyle="1" w:styleId="139">
    <w:name w:val="Table Paragraph"/>
    <w:basedOn w:val="1"/>
    <w:autoRedefine/>
    <w:qFormat/>
    <w:uiPriority w:val="99"/>
    <w:rPr>
      <w:rFonts w:ascii="宋体" w:hAnsi="宋体" w:cs="宋体"/>
      <w:lang w:val="zh-CN"/>
    </w:rPr>
  </w:style>
  <w:style w:type="character" w:customStyle="1" w:styleId="140">
    <w:name w:val="mini-outputtext1"/>
    <w:autoRedefine/>
    <w:qFormat/>
    <w:uiPriority w:val="99"/>
  </w:style>
  <w:style w:type="character" w:customStyle="1" w:styleId="141">
    <w:name w:val="font61"/>
    <w:qFormat/>
    <w:uiPriority w:val="99"/>
    <w:rPr>
      <w:rFonts w:ascii="微软雅黑" w:hAnsi="微软雅黑" w:eastAsia="微软雅黑" w:cs="微软雅黑"/>
      <w:color w:val="FF0000"/>
      <w:sz w:val="18"/>
      <w:szCs w:val="18"/>
      <w:u w:val="none"/>
    </w:rPr>
  </w:style>
  <w:style w:type="character" w:customStyle="1" w:styleId="142">
    <w:name w:val="font51"/>
    <w:autoRedefine/>
    <w:qFormat/>
    <w:uiPriority w:val="99"/>
    <w:rPr>
      <w:rFonts w:ascii="微软雅黑" w:hAnsi="微软雅黑" w:eastAsia="微软雅黑" w:cs="微软雅黑"/>
      <w:color w:val="000000"/>
      <w:sz w:val="18"/>
      <w:szCs w:val="18"/>
      <w:u w:val="none"/>
    </w:rPr>
  </w:style>
  <w:style w:type="character" w:customStyle="1" w:styleId="143">
    <w:name w:val="hover24"/>
    <w:autoRedefine/>
    <w:qFormat/>
    <w:uiPriority w:val="99"/>
  </w:style>
  <w:style w:type="character" w:customStyle="1" w:styleId="144">
    <w:name w:val="hover25"/>
    <w:autoRedefine/>
    <w:qFormat/>
    <w:uiPriority w:val="99"/>
    <w:rPr>
      <w:color w:val="auto"/>
    </w:rPr>
  </w:style>
  <w:style w:type="character" w:customStyle="1" w:styleId="145">
    <w:name w:val="c-icon28"/>
    <w:autoRedefine/>
    <w:qFormat/>
    <w:uiPriority w:val="99"/>
  </w:style>
  <w:style w:type="character" w:customStyle="1" w:styleId="146">
    <w:name w:val="font111"/>
    <w:autoRedefine/>
    <w:qFormat/>
    <w:uiPriority w:val="99"/>
    <w:rPr>
      <w:rFonts w:ascii="Calibri" w:hAnsi="Calibri" w:cs="Calibri"/>
      <w:color w:val="000000"/>
      <w:sz w:val="21"/>
      <w:szCs w:val="21"/>
      <w:u w:val="none"/>
    </w:rPr>
  </w:style>
  <w:style w:type="character" w:customStyle="1" w:styleId="147">
    <w:name w:val="font101"/>
    <w:qFormat/>
    <w:uiPriority w:val="99"/>
    <w:rPr>
      <w:rFonts w:ascii="宋体" w:hAnsi="宋体" w:eastAsia="宋体" w:cs="宋体"/>
      <w:color w:val="000000"/>
      <w:sz w:val="21"/>
      <w:szCs w:val="21"/>
      <w:u w:val="none"/>
    </w:rPr>
  </w:style>
  <w:style w:type="character" w:customStyle="1" w:styleId="148">
    <w:name w:val="font81"/>
    <w:autoRedefine/>
    <w:qFormat/>
    <w:uiPriority w:val="99"/>
    <w:rPr>
      <w:rFonts w:ascii="宋体" w:hAnsi="宋体" w:eastAsia="宋体" w:cs="宋体"/>
      <w:b/>
      <w:bCs/>
      <w:color w:val="000000"/>
      <w:sz w:val="36"/>
      <w:szCs w:val="36"/>
      <w:u w:val="none"/>
    </w:rPr>
  </w:style>
  <w:style w:type="character" w:customStyle="1" w:styleId="149">
    <w:name w:val="font71"/>
    <w:autoRedefine/>
    <w:qFormat/>
    <w:uiPriority w:val="99"/>
    <w:rPr>
      <w:rFonts w:ascii="宋体" w:hAnsi="宋体" w:eastAsia="宋体" w:cs="宋体"/>
      <w:b/>
      <w:bCs/>
      <w:color w:val="000000"/>
      <w:sz w:val="28"/>
      <w:szCs w:val="28"/>
      <w:u w:val="none"/>
    </w:rPr>
  </w:style>
  <w:style w:type="character" w:customStyle="1" w:styleId="150">
    <w:name w:val="font201"/>
    <w:qFormat/>
    <w:uiPriority w:val="99"/>
    <w:rPr>
      <w:rFonts w:ascii="Helvetica" w:hAnsi="Helvetica" w:eastAsia="Times New Roman" w:cs="Helvetica"/>
      <w:color w:val="000000"/>
      <w:sz w:val="18"/>
      <w:szCs w:val="18"/>
      <w:u w:val="none"/>
    </w:rPr>
  </w:style>
  <w:style w:type="character" w:customStyle="1" w:styleId="151">
    <w:name w:val="font212"/>
    <w:qFormat/>
    <w:uiPriority w:val="99"/>
    <w:rPr>
      <w:rFonts w:ascii="宋体" w:hAnsi="宋体" w:eastAsia="宋体" w:cs="宋体"/>
      <w:color w:val="000000"/>
      <w:sz w:val="18"/>
      <w:szCs w:val="18"/>
      <w:u w:val="none"/>
    </w:rPr>
  </w:style>
  <w:style w:type="character" w:customStyle="1" w:styleId="152">
    <w:name w:val="font191"/>
    <w:autoRedefine/>
    <w:qFormat/>
    <w:uiPriority w:val="99"/>
    <w:rPr>
      <w:rFonts w:ascii="等线" w:hAnsi="等线" w:eastAsia="等线" w:cs="等线"/>
      <w:color w:val="000000"/>
      <w:sz w:val="21"/>
      <w:szCs w:val="21"/>
      <w:u w:val="none"/>
    </w:rPr>
  </w:style>
  <w:style w:type="character" w:customStyle="1" w:styleId="153">
    <w:name w:val="font221"/>
    <w:qFormat/>
    <w:uiPriority w:val="99"/>
    <w:rPr>
      <w:rFonts w:ascii="宋体" w:hAnsi="宋体" w:eastAsia="宋体" w:cs="宋体"/>
      <w:color w:val="000000"/>
      <w:sz w:val="18"/>
      <w:szCs w:val="18"/>
      <w:u w:val="none"/>
    </w:rPr>
  </w:style>
  <w:style w:type="character" w:customStyle="1" w:styleId="154">
    <w:name w:val="font151"/>
    <w:autoRedefine/>
    <w:qFormat/>
    <w:uiPriority w:val="99"/>
    <w:rPr>
      <w:rFonts w:ascii="宋体" w:hAnsi="宋体" w:eastAsia="宋体" w:cs="宋体"/>
      <w:b/>
      <w:bCs/>
      <w:color w:val="000000"/>
      <w:sz w:val="36"/>
      <w:szCs w:val="36"/>
      <w:u w:val="none"/>
    </w:rPr>
  </w:style>
  <w:style w:type="character" w:customStyle="1" w:styleId="155">
    <w:name w:val="font41"/>
    <w:autoRedefine/>
    <w:qFormat/>
    <w:uiPriority w:val="99"/>
    <w:rPr>
      <w:rFonts w:ascii="宋体" w:hAnsi="宋体" w:eastAsia="宋体" w:cs="宋体"/>
      <w:color w:val="000000"/>
      <w:sz w:val="20"/>
      <w:szCs w:val="20"/>
      <w:u w:val="none"/>
    </w:rPr>
  </w:style>
  <w:style w:type="paragraph" w:customStyle="1" w:styleId="156">
    <w:name w:val="List Paragraph1"/>
    <w:basedOn w:val="1"/>
    <w:autoRedefine/>
    <w:qFormat/>
    <w:uiPriority w:val="99"/>
    <w:pPr>
      <w:ind w:firstLine="420" w:firstLineChars="200"/>
    </w:pPr>
    <w:rPr>
      <w:rFonts w:ascii="Calibri" w:hAnsi="Calibri" w:cs="Calibri"/>
    </w:rPr>
  </w:style>
  <w:style w:type="paragraph" w:customStyle="1" w:styleId="157">
    <w:name w:val="Body Text First Indent 21"/>
    <w:basedOn w:val="158"/>
    <w:autoRedefine/>
    <w:qFormat/>
    <w:uiPriority w:val="99"/>
    <w:pPr>
      <w:ind w:firstLine="420" w:firstLineChars="200"/>
    </w:pPr>
  </w:style>
  <w:style w:type="paragraph" w:customStyle="1" w:styleId="158">
    <w:name w:val="Body Text Indent1"/>
    <w:basedOn w:val="1"/>
    <w:qFormat/>
    <w:uiPriority w:val="99"/>
    <w:pPr>
      <w:ind w:left="420" w:leftChars="200"/>
    </w:pPr>
  </w:style>
  <w:style w:type="paragraph" w:customStyle="1" w:styleId="159">
    <w:name w:val="Table Text"/>
    <w:autoRedefine/>
    <w:qFormat/>
    <w:uiPriority w:val="99"/>
    <w:pPr>
      <w:suppressAutoHyphens/>
      <w:snapToGrid w:val="0"/>
      <w:spacing w:before="80" w:after="80"/>
    </w:pPr>
    <w:rPr>
      <w:rFonts w:ascii="Arial" w:hAnsi="Arial" w:eastAsia="宋体" w:cs="Arial"/>
      <w:kern w:val="1"/>
      <w:sz w:val="18"/>
      <w:szCs w:val="18"/>
      <w:lang w:val="en-US" w:eastAsia="zh-CN" w:bidi="ar-SA"/>
    </w:rPr>
  </w:style>
  <w:style w:type="paragraph" w:customStyle="1" w:styleId="160">
    <w:name w:val="GW-正文"/>
    <w:basedOn w:val="1"/>
    <w:autoRedefine/>
    <w:qFormat/>
    <w:uiPriority w:val="99"/>
    <w:pPr>
      <w:spacing w:line="360" w:lineRule="auto"/>
      <w:ind w:firstLine="200" w:firstLineChars="200"/>
    </w:pPr>
    <w:rPr>
      <w:rFonts w:eastAsia="仿宋_GB2312"/>
      <w:sz w:val="24"/>
      <w:szCs w:val="24"/>
    </w:rPr>
  </w:style>
  <w:style w:type="paragraph" w:customStyle="1" w:styleId="161">
    <w:name w:val="正文格式"/>
    <w:basedOn w:val="16"/>
    <w:qFormat/>
    <w:uiPriority w:val="99"/>
    <w:pPr>
      <w:spacing w:line="400" w:lineRule="atLeast"/>
      <w:ind w:firstLine="482"/>
      <w:textAlignment w:val="baseline"/>
    </w:pPr>
    <w:rPr>
      <w:sz w:val="24"/>
      <w:szCs w:val="24"/>
    </w:rPr>
  </w:style>
  <w:style w:type="character" w:customStyle="1" w:styleId="162">
    <w:name w:val="font131"/>
    <w:basedOn w:val="48"/>
    <w:qFormat/>
    <w:uiPriority w:val="99"/>
    <w:rPr>
      <w:rFonts w:ascii="等线" w:hAnsi="等线" w:eastAsia="等线" w:cs="等线"/>
      <w:color w:val="000000"/>
      <w:sz w:val="22"/>
      <w:szCs w:val="22"/>
      <w:u w:val="none"/>
    </w:rPr>
  </w:style>
  <w:style w:type="character" w:customStyle="1" w:styleId="163">
    <w:name w:val="font171"/>
    <w:basedOn w:val="48"/>
    <w:autoRedefine/>
    <w:qFormat/>
    <w:uiPriority w:val="99"/>
    <w:rPr>
      <w:rFonts w:ascii="宋体" w:hAnsi="宋体" w:eastAsia="宋体" w:cs="宋体"/>
      <w:color w:val="000000"/>
      <w:sz w:val="24"/>
      <w:szCs w:val="24"/>
      <w:u w:val="none"/>
    </w:rPr>
  </w:style>
  <w:style w:type="character" w:customStyle="1" w:styleId="164">
    <w:name w:val="c-icon30"/>
    <w:basedOn w:val="48"/>
    <w:autoRedefine/>
    <w:qFormat/>
    <w:uiPriority w:val="99"/>
  </w:style>
  <w:style w:type="character" w:customStyle="1" w:styleId="165">
    <w:name w:val="hover23"/>
    <w:basedOn w:val="48"/>
    <w:autoRedefine/>
    <w:qFormat/>
    <w:uiPriority w:val="99"/>
  </w:style>
  <w:style w:type="character" w:customStyle="1" w:styleId="166">
    <w:name w:val="hover26"/>
    <w:basedOn w:val="48"/>
    <w:autoRedefine/>
    <w:qFormat/>
    <w:uiPriority w:val="99"/>
    <w:rPr>
      <w:color w:val="auto"/>
      <w:shd w:val="clear" w:color="auto" w:fill="auto"/>
    </w:rPr>
  </w:style>
  <w:style w:type="character" w:customStyle="1" w:styleId="167">
    <w:name w:val="first-child"/>
    <w:basedOn w:val="48"/>
    <w:autoRedefine/>
    <w:qFormat/>
    <w:uiPriority w:val="0"/>
  </w:style>
  <w:style w:type="character" w:customStyle="1" w:styleId="168">
    <w:name w:val="layui-this"/>
    <w:basedOn w:val="48"/>
    <w:autoRedefine/>
    <w:qFormat/>
    <w:uiPriority w:val="0"/>
    <w:rPr>
      <w:bdr w:val="single" w:color="EEEEEE" w:sz="6" w:space="0"/>
      <w:shd w:val="clear" w:fill="FFFFFF"/>
    </w:rPr>
  </w:style>
  <w:style w:type="paragraph" w:customStyle="1" w:styleId="169">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Body Text Indent"/>
    <w:basedOn w:val="1"/>
    <w:autoRedefine/>
    <w:qFormat/>
    <w:uiPriority w:val="0"/>
    <w:pPr>
      <w:ind w:firstLine="630"/>
    </w:pPr>
    <w:rPr>
      <w:sz w:val="32"/>
    </w:rPr>
  </w:style>
  <w:style w:type="table" w:customStyle="1" w:styleId="171">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1" textRotate="1"/>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70</Pages>
  <Words>14067</Words>
  <Characters>14544</Characters>
  <Lines>0</Lines>
  <Paragraphs>0</Paragraphs>
  <TotalTime>20</TotalTime>
  <ScaleCrop>false</ScaleCrop>
  <LinksUpToDate>false</LinksUpToDate>
  <CharactersWithSpaces>14894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2020-11-26T01:49:00Z</dcterms:created>
  <dc:creator>USER</dc:creator>
  <cp:lastModifiedBy>、Perfume</cp:lastModifiedBy>
  <cp:lastPrinted>2022-09-28T09:04:00Z</cp:lastPrinted>
  <dcterms:modified xsi:type="dcterms:W3CDTF">2024-11-29T10:31:03Z</dcterms:modified>
  <dc:title>政协统办一号楼</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682624382B8F4D64945625D312B847EC_13</vt:lpwstr>
  </property>
</Properties>
</file>